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tabs>
          <w:tab w:val="left" w:pos="1276"/>
        </w:tabs>
        <w:ind w:left="1417" w:hanging="1417"/>
        <w:jc w:val="both"/>
        <w:rPr>
          <w:rFonts w:ascii="Garamond" w:cs="Garamond" w:hAnsi="Garamond" w:eastAsia="Garamond"/>
          <w:b w:val="1"/>
          <w:bCs w:val="1"/>
          <w:caps w:val="1"/>
        </w:rPr>
      </w:pPr>
      <w:r>
        <w:rPr>
          <w:rFonts w:ascii="Garamond" w:hAnsi="Garamond"/>
          <w:b w:val="1"/>
          <w:bCs w:val="1"/>
          <w:caps w:val="1"/>
          <w:rtl w:val="0"/>
          <w:lang w:val="it-IT"/>
        </w:rPr>
        <w:t>OGGETTO: Scioglimento consensuale del rapporto convenzionale tra i Comuni di MALONNO E Berzo Demo per l</w:t>
      </w:r>
      <w:r>
        <w:rPr>
          <w:rFonts w:ascii="Garamond" w:hAnsi="Garamond" w:hint="default"/>
          <w:b w:val="1"/>
          <w:bCs w:val="1"/>
          <w:caps w:val="1"/>
          <w:rtl w:val="0"/>
          <w:lang w:val="it-IT"/>
        </w:rPr>
        <w:t>’</w:t>
      </w:r>
      <w:r>
        <w:rPr>
          <w:rFonts w:ascii="Garamond" w:hAnsi="Garamond"/>
          <w:b w:val="1"/>
          <w:bCs w:val="1"/>
          <w:caps w:val="1"/>
          <w:rtl w:val="0"/>
          <w:lang w:val="it-IT"/>
        </w:rPr>
        <w:t>esercizio in forma associata del servizio di Segreteria Comunale.</w:t>
      </w:r>
    </w:p>
    <w:p>
      <w:pPr>
        <w:pStyle w:val="ASL-IL_DIR"/>
        <w:spacing w:after="0"/>
        <w:ind w:left="216" w:hanging="216"/>
        <w:rPr>
          <w:rFonts w:ascii="Garamond" w:cs="Garamond" w:hAnsi="Garamond" w:eastAsia="Garamond"/>
          <w:sz w:val="24"/>
          <w:szCs w:val="24"/>
        </w:rPr>
      </w:pPr>
    </w:p>
    <w:p>
      <w:pPr>
        <w:pStyle w:val="ASL-IL_DIR"/>
        <w:spacing w:after="0"/>
        <w:ind w:left="216" w:hanging="216"/>
        <w:rPr>
          <w:rFonts w:ascii="Garamond" w:cs="Garamond" w:hAnsi="Garamond" w:eastAsia="Garamond"/>
          <w:sz w:val="24"/>
          <w:szCs w:val="24"/>
        </w:rPr>
      </w:pPr>
      <w:r>
        <w:rPr>
          <w:rFonts w:ascii="Garamond" w:hAnsi="Garamond"/>
          <w:b w:val="1"/>
          <w:bCs w:val="1"/>
          <w:sz w:val="24"/>
          <w:szCs w:val="24"/>
          <w:rtl w:val="0"/>
          <w:lang w:val="it-IT"/>
        </w:rPr>
        <w:t>IL CONSIGLIO COMUNALE</w:t>
      </w:r>
    </w:p>
    <w:p>
      <w:pPr>
        <w:pStyle w:val="ASL-Paragrafo"/>
        <w:jc w:val="center"/>
        <w:rPr>
          <w:rFonts w:ascii="Garamond" w:cs="Garamond" w:hAnsi="Garamond" w:eastAsia="Garamond"/>
          <w:b w:val="1"/>
          <w:bCs w:val="1"/>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RAMMENTATO CHE:</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l</w:t>
      </w:r>
      <w:r>
        <w:rPr>
          <w:rFonts w:ascii="Garamond" w:hAnsi="Garamond" w:hint="default"/>
          <w:sz w:val="22"/>
          <w:szCs w:val="22"/>
          <w:rtl w:val="0"/>
          <w:lang w:val="it-IT"/>
        </w:rPr>
        <w:t>’</w:t>
      </w:r>
      <w:r>
        <w:rPr>
          <w:rFonts w:ascii="Garamond" w:hAnsi="Garamond"/>
          <w:sz w:val="22"/>
          <w:szCs w:val="22"/>
          <w:rtl w:val="0"/>
          <w:lang w:val="it-IT"/>
        </w:rPr>
        <w:t>art. 30 del D.Lgs. 18.08.2000, n.267, prevede che, al fine di svolgere in modo coordinato funzioni e servizi determinati, i Comuni possono stipulare tra loro apposite convenzioni, le quali devono stabilire i fini, la durata, i loro rapporti finanziari ed i reciproci obblighi e garanzie;</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l</w:t>
      </w:r>
      <w:r>
        <w:rPr>
          <w:rFonts w:ascii="Garamond" w:hAnsi="Garamond" w:hint="default"/>
          <w:sz w:val="22"/>
          <w:szCs w:val="22"/>
          <w:rtl w:val="0"/>
          <w:lang w:val="it-IT"/>
        </w:rPr>
        <w:t>’</w:t>
      </w:r>
      <w:r>
        <w:rPr>
          <w:rFonts w:ascii="Garamond" w:hAnsi="Garamond"/>
          <w:sz w:val="22"/>
          <w:szCs w:val="22"/>
          <w:rtl w:val="0"/>
          <w:lang w:val="it-IT"/>
        </w:rPr>
        <w:t>art. 97 del D.lgs. n. 267/2000 stabilisce che il Comune abbia un Segretario titolare dipendente dall</w:t>
      </w:r>
      <w:r>
        <w:rPr>
          <w:rFonts w:ascii="Garamond" w:hAnsi="Garamond" w:hint="default"/>
          <w:sz w:val="22"/>
          <w:szCs w:val="22"/>
          <w:rtl w:val="0"/>
          <w:lang w:val="it-IT"/>
        </w:rPr>
        <w:t>’</w:t>
      </w:r>
      <w:r>
        <w:rPr>
          <w:rFonts w:ascii="Garamond" w:hAnsi="Garamond"/>
          <w:sz w:val="22"/>
          <w:szCs w:val="22"/>
          <w:rtl w:val="0"/>
          <w:lang w:val="it-IT"/>
        </w:rPr>
        <w:t>Agenzia Autonoma dei Segretari Comunali e Provinciali cui sono affidati compiti di collaborazione e funzioni di assistenza giuridico</w:t>
      </w:r>
      <w:r>
        <w:rPr>
          <w:rFonts w:ascii="Garamond" w:hAnsi="Garamond" w:hint="default"/>
          <w:sz w:val="22"/>
          <w:szCs w:val="22"/>
          <w:rtl w:val="0"/>
          <w:lang w:val="it-IT"/>
        </w:rPr>
        <w:t>–</w:t>
      </w:r>
      <w:r>
        <w:rPr>
          <w:rFonts w:ascii="Garamond" w:hAnsi="Garamond"/>
          <w:sz w:val="22"/>
          <w:szCs w:val="22"/>
          <w:rtl w:val="0"/>
          <w:lang w:val="it-IT"/>
        </w:rPr>
        <w:t>amministrativa nei confronti degli Organi dell</w:t>
      </w:r>
      <w:r>
        <w:rPr>
          <w:rFonts w:ascii="Garamond" w:hAnsi="Garamond" w:hint="default"/>
          <w:sz w:val="22"/>
          <w:szCs w:val="22"/>
          <w:rtl w:val="0"/>
          <w:lang w:val="it-IT"/>
        </w:rPr>
        <w:t>’</w:t>
      </w:r>
      <w:r>
        <w:rPr>
          <w:rFonts w:ascii="Garamond" w:hAnsi="Garamond"/>
          <w:sz w:val="22"/>
          <w:szCs w:val="22"/>
          <w:rtl w:val="0"/>
          <w:lang w:val="it-IT"/>
        </w:rPr>
        <w:t>Ente, coordinamento delle attivit</w:t>
      </w:r>
      <w:r>
        <w:rPr>
          <w:rFonts w:ascii="Garamond" w:hAnsi="Garamond" w:hint="default"/>
          <w:sz w:val="22"/>
          <w:szCs w:val="22"/>
          <w:rtl w:val="0"/>
          <w:lang w:val="it-IT"/>
        </w:rPr>
        <w:t xml:space="preserve">à </w:t>
      </w:r>
      <w:r>
        <w:rPr>
          <w:rFonts w:ascii="Garamond" w:hAnsi="Garamond"/>
          <w:sz w:val="22"/>
          <w:szCs w:val="22"/>
          <w:rtl w:val="0"/>
          <w:lang w:val="it-IT"/>
        </w:rPr>
        <w:t>e delle funzioni del personale e ogni altra funzione attribuitagli dallo Statuto, dai Regolamenti o dal Sindaco;</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l</w:t>
      </w:r>
      <w:r>
        <w:rPr>
          <w:rFonts w:ascii="Garamond" w:hAnsi="Garamond" w:hint="default"/>
          <w:sz w:val="22"/>
          <w:szCs w:val="22"/>
          <w:rtl w:val="0"/>
          <w:lang w:val="it-IT"/>
        </w:rPr>
        <w:t>’</w:t>
      </w:r>
      <w:r>
        <w:rPr>
          <w:rFonts w:ascii="Garamond" w:hAnsi="Garamond"/>
          <w:sz w:val="22"/>
          <w:szCs w:val="22"/>
          <w:rtl w:val="0"/>
          <w:lang w:val="it-IT"/>
        </w:rPr>
        <w:t>art. 98, comma 3, del D.Lgs. n. 267/2000 e l</w:t>
      </w:r>
      <w:r>
        <w:rPr>
          <w:rFonts w:ascii="Garamond" w:hAnsi="Garamond" w:hint="default"/>
          <w:sz w:val="22"/>
          <w:szCs w:val="22"/>
          <w:rtl w:val="0"/>
          <w:lang w:val="it-IT"/>
        </w:rPr>
        <w:t>’</w:t>
      </w:r>
      <w:r>
        <w:rPr>
          <w:rFonts w:ascii="Garamond" w:hAnsi="Garamond"/>
          <w:sz w:val="22"/>
          <w:szCs w:val="22"/>
          <w:rtl w:val="0"/>
          <w:lang w:val="it-IT"/>
        </w:rPr>
        <w:t>art. 10 del D.P.R. 4 dicembre 1997, n. 465, prevedono la possibilit</w:t>
      </w:r>
      <w:r>
        <w:rPr>
          <w:rFonts w:ascii="Garamond" w:hAnsi="Garamond" w:hint="default"/>
          <w:sz w:val="22"/>
          <w:szCs w:val="22"/>
          <w:rtl w:val="0"/>
          <w:lang w:val="it-IT"/>
        </w:rPr>
        <w:t xml:space="preserve">à </w:t>
      </w:r>
      <w:r>
        <w:rPr>
          <w:rFonts w:ascii="Garamond" w:hAnsi="Garamond"/>
          <w:sz w:val="22"/>
          <w:szCs w:val="22"/>
          <w:rtl w:val="0"/>
          <w:lang w:val="it-IT"/>
        </w:rPr>
        <w:t>per i Comuni, le cui sedi siano ricomprese nell</w:t>
      </w:r>
      <w:r>
        <w:rPr>
          <w:rFonts w:ascii="Garamond" w:hAnsi="Garamond" w:hint="default"/>
          <w:sz w:val="22"/>
          <w:szCs w:val="22"/>
          <w:rtl w:val="0"/>
          <w:lang w:val="it-IT"/>
        </w:rPr>
        <w:t>’</w:t>
      </w:r>
      <w:r>
        <w:rPr>
          <w:rFonts w:ascii="Garamond" w:hAnsi="Garamond"/>
          <w:sz w:val="22"/>
          <w:szCs w:val="22"/>
          <w:rtl w:val="0"/>
          <w:lang w:val="it-IT"/>
        </w:rPr>
        <w:t>ambito territoriale della stessa Sezione Regionale dell</w:t>
      </w:r>
      <w:r>
        <w:rPr>
          <w:rFonts w:ascii="Garamond" w:hAnsi="Garamond" w:hint="default"/>
          <w:sz w:val="22"/>
          <w:szCs w:val="22"/>
          <w:rtl w:val="0"/>
          <w:lang w:val="it-IT"/>
        </w:rPr>
        <w:t>’</w:t>
      </w:r>
      <w:r>
        <w:rPr>
          <w:rFonts w:ascii="Garamond" w:hAnsi="Garamond"/>
          <w:sz w:val="22"/>
          <w:szCs w:val="22"/>
          <w:rtl w:val="0"/>
          <w:lang w:val="it-IT"/>
        </w:rPr>
        <w:t>Agenzia Autonoma per la gestione dell</w:t>
      </w:r>
      <w:r>
        <w:rPr>
          <w:rFonts w:ascii="Garamond" w:hAnsi="Garamond" w:hint="default"/>
          <w:sz w:val="22"/>
          <w:szCs w:val="22"/>
          <w:rtl w:val="0"/>
          <w:lang w:val="it-IT"/>
        </w:rPr>
        <w:t>’</w:t>
      </w:r>
      <w:r>
        <w:rPr>
          <w:rFonts w:ascii="Garamond" w:hAnsi="Garamond"/>
          <w:sz w:val="22"/>
          <w:szCs w:val="22"/>
          <w:rtl w:val="0"/>
          <w:lang w:val="it-IT"/>
        </w:rPr>
        <w:t>Albo dei Segretari Comunali e Provinciali, di stipulare tra loro, anche nell</w:t>
      </w:r>
      <w:r>
        <w:rPr>
          <w:rFonts w:ascii="Garamond" w:hAnsi="Garamond" w:hint="default"/>
          <w:sz w:val="22"/>
          <w:szCs w:val="22"/>
          <w:rtl w:val="0"/>
          <w:lang w:val="it-IT"/>
        </w:rPr>
        <w:t>’</w:t>
      </w:r>
      <w:r>
        <w:rPr>
          <w:rFonts w:ascii="Garamond" w:hAnsi="Garamond"/>
          <w:sz w:val="22"/>
          <w:szCs w:val="22"/>
          <w:rtl w:val="0"/>
          <w:lang w:val="it-IT"/>
        </w:rPr>
        <w:t>ambito di pi</w:t>
      </w:r>
      <w:r>
        <w:rPr>
          <w:rFonts w:ascii="Garamond" w:hAnsi="Garamond" w:hint="default"/>
          <w:sz w:val="22"/>
          <w:szCs w:val="22"/>
          <w:rtl w:val="0"/>
          <w:lang w:val="it-IT"/>
        </w:rPr>
        <w:t xml:space="preserve">ù </w:t>
      </w:r>
      <w:r>
        <w:rPr>
          <w:rFonts w:ascii="Garamond" w:hAnsi="Garamond"/>
          <w:sz w:val="22"/>
          <w:szCs w:val="22"/>
          <w:rtl w:val="0"/>
          <w:lang w:val="it-IT"/>
        </w:rPr>
        <w:t>ampi accordi per l</w:t>
      </w:r>
      <w:r>
        <w:rPr>
          <w:rFonts w:ascii="Garamond" w:hAnsi="Garamond" w:hint="default"/>
          <w:sz w:val="22"/>
          <w:szCs w:val="22"/>
          <w:rtl w:val="0"/>
          <w:lang w:val="it-IT"/>
        </w:rPr>
        <w:t>’</w:t>
      </w:r>
      <w:r>
        <w:rPr>
          <w:rFonts w:ascii="Garamond" w:hAnsi="Garamond"/>
          <w:sz w:val="22"/>
          <w:szCs w:val="22"/>
          <w:rtl w:val="0"/>
          <w:lang w:val="it-IT"/>
        </w:rPr>
        <w:t>esercizio associato di funzioni, convenzioni per l</w:t>
      </w:r>
      <w:r>
        <w:rPr>
          <w:rFonts w:ascii="Garamond" w:hAnsi="Garamond" w:hint="default"/>
          <w:sz w:val="22"/>
          <w:szCs w:val="22"/>
          <w:rtl w:val="0"/>
          <w:lang w:val="it-IT"/>
        </w:rPr>
        <w:t>’</w:t>
      </w:r>
      <w:r>
        <w:rPr>
          <w:rFonts w:ascii="Garamond" w:hAnsi="Garamond"/>
          <w:sz w:val="22"/>
          <w:szCs w:val="22"/>
          <w:rtl w:val="0"/>
          <w:lang w:val="it-IT"/>
        </w:rPr>
        <w:t>ufficio di Segretario comunale;</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 xml:space="preserve">DATO ATTO </w:t>
      </w:r>
      <w:r>
        <w:rPr>
          <w:rFonts w:ascii="Garamond" w:hAnsi="Garamond"/>
          <w:b w:val="1"/>
          <w:bCs w:val="1"/>
          <w:caps w:val="1"/>
          <w:sz w:val="22"/>
          <w:szCs w:val="22"/>
          <w:rtl w:val="0"/>
          <w:lang w:val="it-IT"/>
        </w:rPr>
        <w:t>che</w:t>
      </w:r>
      <w:r>
        <w:rPr>
          <w:rFonts w:ascii="Garamond" w:hAnsi="Garamond"/>
          <w:b w:val="1"/>
          <w:bCs w:val="1"/>
          <w:sz w:val="22"/>
          <w:szCs w:val="22"/>
          <w:rtl w:val="0"/>
          <w:lang w:val="it-IT"/>
        </w:rPr>
        <w:t>:</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l</w:t>
      </w:r>
      <w:r>
        <w:rPr>
          <w:rFonts w:ascii="Garamond" w:hAnsi="Garamond" w:hint="default"/>
          <w:sz w:val="22"/>
          <w:szCs w:val="22"/>
          <w:rtl w:val="0"/>
          <w:lang w:val="it-IT"/>
        </w:rPr>
        <w:t>’</w:t>
      </w:r>
      <w:r>
        <w:rPr>
          <w:rFonts w:ascii="Garamond" w:hAnsi="Garamond"/>
          <w:sz w:val="22"/>
          <w:szCs w:val="22"/>
          <w:rtl w:val="0"/>
          <w:lang w:val="it-IT"/>
        </w:rPr>
        <w:t>articolo 7 comma 31-ter del D.L. n.78/2010, convertito, con modificazioni, dalla L n.122/2010, ha disposto la soppressione dell</w:t>
      </w:r>
      <w:r>
        <w:rPr>
          <w:rFonts w:ascii="Garamond" w:hAnsi="Garamond" w:hint="default"/>
          <w:sz w:val="22"/>
          <w:szCs w:val="22"/>
          <w:rtl w:val="0"/>
          <w:lang w:val="it-IT"/>
        </w:rPr>
        <w:t>’</w:t>
      </w:r>
      <w:r>
        <w:rPr>
          <w:rFonts w:ascii="Garamond" w:hAnsi="Garamond"/>
          <w:sz w:val="22"/>
          <w:szCs w:val="22"/>
          <w:rtl w:val="0"/>
          <w:lang w:val="it-IT"/>
        </w:rPr>
        <w:t>Agenzia autonoma per la gestione dell</w:t>
      </w:r>
      <w:r>
        <w:rPr>
          <w:rFonts w:ascii="Garamond" w:hAnsi="Garamond" w:hint="default"/>
          <w:sz w:val="22"/>
          <w:szCs w:val="22"/>
          <w:rtl w:val="0"/>
          <w:lang w:val="it-IT"/>
        </w:rPr>
        <w:t>’</w:t>
      </w:r>
      <w:r>
        <w:rPr>
          <w:rFonts w:ascii="Garamond" w:hAnsi="Garamond"/>
          <w:sz w:val="22"/>
          <w:szCs w:val="22"/>
          <w:rtl w:val="0"/>
          <w:lang w:val="it-IT"/>
        </w:rPr>
        <w:t>albo dei Segretari, nonch</w:t>
      </w:r>
      <w:r>
        <w:rPr>
          <w:rFonts w:ascii="Garamond" w:hAnsi="Garamond" w:hint="default"/>
          <w:sz w:val="22"/>
          <w:szCs w:val="22"/>
          <w:rtl w:val="0"/>
          <w:lang w:val="it-IT"/>
        </w:rPr>
        <w:t xml:space="preserve">é </w:t>
      </w:r>
      <w:r>
        <w:rPr>
          <w:rFonts w:ascii="Garamond" w:hAnsi="Garamond"/>
          <w:sz w:val="22"/>
          <w:szCs w:val="22"/>
          <w:rtl w:val="0"/>
          <w:lang w:val="it-IT"/>
        </w:rPr>
        <w:t>la successione, a titolo universale, del Ministero dell</w:t>
      </w:r>
      <w:r>
        <w:rPr>
          <w:rFonts w:ascii="Garamond" w:hAnsi="Garamond" w:hint="default"/>
          <w:sz w:val="22"/>
          <w:szCs w:val="22"/>
          <w:rtl w:val="0"/>
          <w:lang w:val="it-IT"/>
        </w:rPr>
        <w:t>’</w:t>
      </w:r>
      <w:r>
        <w:rPr>
          <w:rFonts w:ascii="Garamond" w:hAnsi="Garamond"/>
          <w:sz w:val="22"/>
          <w:szCs w:val="22"/>
          <w:rtl w:val="0"/>
          <w:lang w:val="it-IT"/>
        </w:rPr>
        <w:t>Interno;</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in virt</w:t>
      </w:r>
      <w:r>
        <w:rPr>
          <w:rFonts w:ascii="Garamond" w:hAnsi="Garamond" w:hint="default"/>
          <w:sz w:val="22"/>
          <w:szCs w:val="22"/>
          <w:rtl w:val="0"/>
          <w:lang w:val="it-IT"/>
        </w:rPr>
        <w:t xml:space="preserve">ù </w:t>
      </w:r>
      <w:r>
        <w:rPr>
          <w:rFonts w:ascii="Garamond" w:hAnsi="Garamond"/>
          <w:sz w:val="22"/>
          <w:szCs w:val="22"/>
          <w:rtl w:val="0"/>
          <w:lang w:val="it-IT"/>
        </w:rPr>
        <w:t>di quanto sopra, il riferimento alla Sezione Regionale Lombardia dell</w:t>
      </w:r>
      <w:r>
        <w:rPr>
          <w:rFonts w:ascii="Garamond" w:hAnsi="Garamond" w:hint="default"/>
          <w:sz w:val="22"/>
          <w:szCs w:val="22"/>
          <w:rtl w:val="0"/>
          <w:lang w:val="it-IT"/>
        </w:rPr>
        <w:t>’</w:t>
      </w:r>
      <w:r>
        <w:rPr>
          <w:rFonts w:ascii="Garamond" w:hAnsi="Garamond"/>
          <w:sz w:val="22"/>
          <w:szCs w:val="22"/>
          <w:rtl w:val="0"/>
          <w:lang w:val="it-IT"/>
        </w:rPr>
        <w:t>Agenzia Autonoma deve intendersi rivolto alla Prefettura di Milano - Ufficio Territoriale del Governo, Albo dei Segretari Comunali e Provinciali - Sezione Regionale della Lombardia;</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 xml:space="preserve">tutta la produzione normativa successiva alla L. n.142/90 ed in particolare le LL. n.9/97, n.127/97, n.265/99 e da ultimo il D.lgs. n.267/2000 </w:t>
      </w:r>
      <w:r>
        <w:rPr>
          <w:rFonts w:ascii="Garamond" w:hAnsi="Garamond" w:hint="default"/>
          <w:sz w:val="22"/>
          <w:szCs w:val="22"/>
          <w:rtl w:val="0"/>
          <w:lang w:val="it-IT"/>
        </w:rPr>
        <w:t>“</w:t>
      </w:r>
      <w:r>
        <w:rPr>
          <w:rFonts w:ascii="Garamond" w:hAnsi="Garamond"/>
          <w:sz w:val="22"/>
          <w:szCs w:val="22"/>
          <w:rtl w:val="0"/>
          <w:lang w:val="it-IT"/>
        </w:rPr>
        <w:t>Testo Unico delle leggi sull'Ordinamento degli Enti Locali</w:t>
      </w:r>
      <w:r>
        <w:rPr>
          <w:rFonts w:ascii="Garamond" w:hAnsi="Garamond" w:hint="default"/>
          <w:sz w:val="22"/>
          <w:szCs w:val="22"/>
          <w:rtl w:val="0"/>
          <w:lang w:val="it-IT"/>
        </w:rPr>
        <w:t>”</w:t>
      </w:r>
      <w:r>
        <w:rPr>
          <w:rFonts w:ascii="Garamond" w:hAnsi="Garamond"/>
          <w:sz w:val="22"/>
          <w:szCs w:val="22"/>
          <w:rtl w:val="0"/>
          <w:lang w:val="it-IT"/>
        </w:rPr>
        <w:t>, invita gli Enti Locali ad attivare forme associative e di partecipazione, anche allo scopo di ottenere delle sensibili economie di gestione della spesa, oltre ad una maggiore integrazione funzionale tra enti diversi;</w:t>
      </w:r>
    </w:p>
    <w:p>
      <w:pPr>
        <w:pStyle w:val="ASL-Paragrafo"/>
        <w:jc w:val="both"/>
        <w:rPr>
          <w:rFonts w:ascii="Garamond" w:cs="Garamond" w:hAnsi="Garamond" w:eastAsia="Garamond"/>
          <w:sz w:val="22"/>
          <w:szCs w:val="22"/>
        </w:rPr>
      </w:pPr>
    </w:p>
    <w:p>
      <w:pPr>
        <w:pStyle w:val="Normal.0"/>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Garamond" w:cs="Garamond" w:hAnsi="Garamond" w:eastAsia="Garamond"/>
          <w:b w:val="1"/>
          <w:bCs w:val="1"/>
          <w:caps w:val="1"/>
          <w:kern w:val="0"/>
          <w:sz w:val="22"/>
          <w:szCs w:val="22"/>
        </w:rPr>
      </w:pPr>
      <w:r>
        <w:rPr>
          <w:rFonts w:ascii="Garamond" w:hAnsi="Garamond"/>
          <w:b w:val="1"/>
          <w:bCs w:val="1"/>
          <w:caps w:val="1"/>
          <w:kern w:val="0"/>
          <w:sz w:val="22"/>
          <w:szCs w:val="22"/>
          <w:rtl w:val="0"/>
          <w:lang w:val="it-IT"/>
        </w:rPr>
        <w:t>Premesso che:</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i Comuni di Malonno (BS) e Berzo Demo (BS), con Deliberazioni del Consiglio Comunale idoneamente adottate ed esecutive (rispettivamente</w:t>
      </w:r>
      <w:r>
        <w:rPr>
          <w:rFonts w:ascii="Garamond" w:hAnsi="Garamond"/>
          <w:sz w:val="22"/>
          <w:szCs w:val="22"/>
          <w:u w:color="ff2600"/>
          <w:rtl w:val="0"/>
          <w:lang w:val="it-IT"/>
        </w:rPr>
        <w:t xml:space="preserve"> n. 5 del 30.03.2026 e n. 7 del 01.04.2026</w:t>
      </w:r>
      <w:r>
        <w:rPr>
          <w:rFonts w:ascii="Garamond" w:hAnsi="Garamond"/>
          <w:sz w:val="22"/>
          <w:szCs w:val="22"/>
          <w:rtl w:val="0"/>
          <w:lang w:val="it-IT"/>
        </w:rPr>
        <w:t>), hanno inteso costituire idoneo rapporto convenzionale finalizzato all</w:t>
      </w:r>
      <w:r>
        <w:rPr>
          <w:rFonts w:ascii="Garamond" w:hAnsi="Garamond" w:hint="default"/>
          <w:sz w:val="22"/>
          <w:szCs w:val="22"/>
          <w:rtl w:val="0"/>
          <w:lang w:val="it-IT"/>
        </w:rPr>
        <w:t>’</w:t>
      </w:r>
      <w:r>
        <w:rPr>
          <w:rFonts w:ascii="Garamond" w:hAnsi="Garamond"/>
          <w:sz w:val="22"/>
          <w:szCs w:val="22"/>
          <w:rtl w:val="0"/>
          <w:lang w:val="it-IT"/>
        </w:rPr>
        <w:t>esercizio in forma associata del servizio di segreteria comunale convenzionata, nell</w:t>
      </w:r>
      <w:r>
        <w:rPr>
          <w:rFonts w:ascii="Garamond" w:hAnsi="Garamond" w:hint="default"/>
          <w:sz w:val="22"/>
          <w:szCs w:val="22"/>
          <w:rtl w:val="0"/>
          <w:lang w:val="it-IT"/>
        </w:rPr>
        <w:t>’</w:t>
      </w:r>
      <w:r>
        <w:rPr>
          <w:rFonts w:ascii="Garamond" w:hAnsi="Garamond"/>
          <w:sz w:val="22"/>
          <w:szCs w:val="22"/>
          <w:rtl w:val="0"/>
          <w:lang w:val="it-IT"/>
        </w:rPr>
        <w:t xml:space="preserve">ambito della quale il Comune di Malonno </w:t>
      </w:r>
      <w:r>
        <w:rPr>
          <w:rFonts w:ascii="Garamond" w:hAnsi="Garamond" w:hint="default"/>
          <w:sz w:val="22"/>
          <w:szCs w:val="22"/>
          <w:rtl w:val="0"/>
          <w:lang w:val="it-IT"/>
        </w:rPr>
        <w:t xml:space="preserve">è </w:t>
      </w:r>
      <w:r>
        <w:rPr>
          <w:rFonts w:ascii="Garamond" w:hAnsi="Garamond"/>
          <w:sz w:val="22"/>
          <w:szCs w:val="22"/>
          <w:rtl w:val="0"/>
          <w:lang w:val="it-IT"/>
        </w:rPr>
        <w:t>stato individuato quale Ente capofila, in quanto pi</w:t>
      </w:r>
      <w:r>
        <w:rPr>
          <w:rFonts w:ascii="Garamond" w:hAnsi="Garamond" w:hint="default"/>
          <w:sz w:val="22"/>
          <w:szCs w:val="22"/>
          <w:rtl w:val="0"/>
          <w:lang w:val="it-IT"/>
        </w:rPr>
        <w:t xml:space="preserve">ù </w:t>
      </w:r>
      <w:r>
        <w:rPr>
          <w:rFonts w:ascii="Garamond" w:hAnsi="Garamond"/>
          <w:sz w:val="22"/>
          <w:szCs w:val="22"/>
          <w:rtl w:val="0"/>
          <w:lang w:val="it-IT"/>
        </w:rPr>
        <w:t>popoloso alla data del 31.12.2025;</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con Decreto del Sindaco di Malonno n.94 del 02.05.2026 si provvedeva, d</w:t>
      </w:r>
      <w:r>
        <w:rPr>
          <w:rFonts w:ascii="Garamond" w:hAnsi="Garamond" w:hint="default"/>
          <w:sz w:val="22"/>
          <w:szCs w:val="22"/>
          <w:rtl w:val="0"/>
          <w:lang w:val="it-IT"/>
        </w:rPr>
        <w:t>’</w:t>
      </w:r>
      <w:r>
        <w:rPr>
          <w:rFonts w:ascii="Garamond" w:hAnsi="Garamond"/>
          <w:sz w:val="22"/>
          <w:szCs w:val="22"/>
          <w:rtl w:val="0"/>
          <w:lang w:val="it-IT"/>
        </w:rPr>
        <w:t>intesa con il Sindaco del Comune di Berzo Demo, alla formale individuazione del Dott. Matteo Tonsi quale soggetto idoneo all</w:t>
      </w:r>
      <w:r>
        <w:rPr>
          <w:rFonts w:ascii="Garamond" w:hAnsi="Garamond" w:hint="default"/>
          <w:sz w:val="22"/>
          <w:szCs w:val="22"/>
          <w:rtl w:val="0"/>
          <w:lang w:val="it-IT"/>
        </w:rPr>
        <w:t>’</w:t>
      </w:r>
      <w:r>
        <w:rPr>
          <w:rFonts w:ascii="Garamond" w:hAnsi="Garamond"/>
          <w:sz w:val="22"/>
          <w:szCs w:val="22"/>
          <w:rtl w:val="0"/>
          <w:lang w:val="it-IT"/>
        </w:rPr>
        <w:t>assunzione dell</w:t>
      </w:r>
      <w:r>
        <w:rPr>
          <w:rFonts w:ascii="Garamond" w:hAnsi="Garamond" w:hint="default"/>
          <w:sz w:val="22"/>
          <w:szCs w:val="22"/>
          <w:rtl w:val="0"/>
          <w:lang w:val="it-IT"/>
        </w:rPr>
        <w:t>’</w:t>
      </w:r>
      <w:r>
        <w:rPr>
          <w:rFonts w:ascii="Garamond" w:hAnsi="Garamond"/>
          <w:sz w:val="22"/>
          <w:szCs w:val="22"/>
          <w:rtl w:val="0"/>
          <w:lang w:val="it-IT"/>
        </w:rPr>
        <w:t>incarico di Segretario titolare della sede convenzionata (classe III) tra i Comuni di Malonno e Berzo Demo;</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 xml:space="preserve">con Decreto </w:t>
      </w:r>
      <w:r>
        <w:rPr>
          <w:rFonts w:ascii="Garamond" w:hAnsi="Garamond"/>
          <w:sz w:val="22"/>
          <w:szCs w:val="22"/>
          <w:u w:color="ff2600"/>
          <w:rtl w:val="0"/>
          <w:lang w:val="it-IT"/>
        </w:rPr>
        <w:t xml:space="preserve">n. 151 del 05.05.2026 </w:t>
      </w:r>
      <w:r>
        <w:rPr>
          <w:rFonts w:ascii="Garamond" w:hAnsi="Garamond"/>
          <w:sz w:val="22"/>
          <w:szCs w:val="22"/>
          <w:rtl w:val="0"/>
          <w:lang w:val="it-IT"/>
        </w:rPr>
        <w:t xml:space="preserve">la Prefettura - Ufficio Territoriale del Governo di Milano </w:t>
      </w:r>
      <w:r>
        <w:rPr>
          <w:rFonts w:ascii="Garamond" w:hAnsi="Garamond" w:hint="default"/>
          <w:sz w:val="22"/>
          <w:szCs w:val="22"/>
          <w:rtl w:val="0"/>
          <w:lang w:val="it-IT"/>
        </w:rPr>
        <w:t xml:space="preserve">– </w:t>
      </w:r>
      <w:r>
        <w:rPr>
          <w:rFonts w:ascii="Garamond" w:hAnsi="Garamond"/>
          <w:sz w:val="22"/>
          <w:szCs w:val="22"/>
          <w:rtl w:val="0"/>
          <w:lang w:val="it-IT"/>
        </w:rPr>
        <w:t>Albo dei Segretari Comunali e Provinciali Sezione Regionale Lombardia, ha formalmente assegnato - in deroga al limite dei 3000 abitanti, ai sensi dell</w:t>
      </w:r>
      <w:r>
        <w:rPr>
          <w:rFonts w:ascii="Garamond" w:hAnsi="Garamond" w:hint="default"/>
          <w:sz w:val="22"/>
          <w:szCs w:val="22"/>
          <w:rtl w:val="0"/>
          <w:lang w:val="it-IT"/>
        </w:rPr>
        <w:t>’</w:t>
      </w:r>
      <w:r>
        <w:rPr>
          <w:rFonts w:ascii="Garamond" w:hAnsi="Garamond"/>
          <w:sz w:val="22"/>
          <w:szCs w:val="22"/>
          <w:rtl w:val="0"/>
          <w:lang w:val="it-IT"/>
        </w:rPr>
        <w:t>art.18 quater della Legge 7 ottobre 2024 n.143, di conversione con modificazioni del Decreto Legge 9 agosto 2024, n.113 - dalla data di presa in servizio alla data del 31.12.2026, il Dott. Matteo Tonsi quale Segretario Comunale titolare della sede di segreteria convenzionata tra i Comuni di Malonno e Berzo Demo, classificata in Classe III, demandando al Sindaco dell</w:t>
      </w:r>
      <w:r>
        <w:rPr>
          <w:rFonts w:ascii="Garamond" w:hAnsi="Garamond" w:hint="default"/>
          <w:sz w:val="22"/>
          <w:szCs w:val="22"/>
          <w:rtl w:val="0"/>
          <w:lang w:val="it-IT"/>
        </w:rPr>
        <w:t>’</w:t>
      </w:r>
      <w:r>
        <w:rPr>
          <w:rFonts w:ascii="Garamond" w:hAnsi="Garamond"/>
          <w:sz w:val="22"/>
          <w:szCs w:val="22"/>
          <w:rtl w:val="0"/>
          <w:lang w:val="it-IT"/>
        </w:rPr>
        <w:t>Ente capofila l</w:t>
      </w:r>
      <w:r>
        <w:rPr>
          <w:rFonts w:ascii="Garamond" w:hAnsi="Garamond" w:hint="default"/>
          <w:sz w:val="22"/>
          <w:szCs w:val="22"/>
          <w:rtl w:val="0"/>
          <w:lang w:val="it-IT"/>
        </w:rPr>
        <w:t>’</w:t>
      </w:r>
      <w:r>
        <w:rPr>
          <w:rFonts w:ascii="Garamond" w:hAnsi="Garamond"/>
          <w:sz w:val="22"/>
          <w:szCs w:val="22"/>
          <w:rtl w:val="0"/>
          <w:lang w:val="it-IT"/>
        </w:rPr>
        <w:t>adozione degli adempimenti di propria competenza in ordine alla successiva nomina;</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con Decreto del Sindaco di Malonno n.95 del 06.05.2026 il Dott. Matteo Tonsi veniva formalmente nominato Segretario titolare della sede di segreteria convenzionata tra i Comuni di Malonno e Berzo Demo, classificata in Classe III;</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PRECISATO CHE</w:t>
      </w:r>
      <w:r>
        <w:rPr>
          <w:rFonts w:ascii="Garamond" w:hAnsi="Garamond"/>
          <w:sz w:val="22"/>
          <w:szCs w:val="22"/>
          <w:rtl w:val="0"/>
          <w:lang w:val="it-IT"/>
        </w:rPr>
        <w:t xml:space="preserve"> il suddetto testo convenzionale, tra gli altri, valorizza il sistema di suddivisione degli oneri finanziari a carico degli enti convenzionati, secondo lo schema di riparto di seguito compendiato:</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60% a carico del Comune di Malonno;</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40% a carico del Comune di Berzo Demo;</w:t>
      </w:r>
    </w:p>
    <w:p>
      <w:pPr>
        <w:pStyle w:val="ASL-Paragrafo"/>
        <w:jc w:val="both"/>
        <w:rPr>
          <w:rFonts w:ascii="Garamond" w:cs="Garamond" w:hAnsi="Garamond" w:eastAsia="Garamond"/>
          <w:sz w:val="22"/>
          <w:szCs w:val="22"/>
        </w:rPr>
      </w:pPr>
    </w:p>
    <w:p>
      <w:pPr>
        <w:pStyle w:val="Normal.0"/>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Garamond" w:cs="Garamond" w:hAnsi="Garamond" w:eastAsia="Garamond"/>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pPr>
      <w:r>
        <w:rPr>
          <w:rFonts w:ascii="Garamond" w:hAnsi="Garamond"/>
          <w:b w:val="1"/>
          <w:bCs w:val="1"/>
          <w:caps w:val="1"/>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Rammentato che</w:t>
      </w:r>
      <w:r>
        <w:rPr>
          <w:rFonts w:ascii="Garamond" w:hAnsi="Garamond"/>
          <w:b w:val="1"/>
          <w:bCs w:val="1"/>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 xml:space="preserve"> </w:t>
      </w:r>
      <w:r>
        <w:rPr>
          <w:rFonts w:ascii="Garamond" w:hAnsi="Garamond"/>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il Decreto del Ministro dell</w:t>
      </w:r>
      <w:r>
        <w:rPr>
          <w:rFonts w:ascii="Garamond" w:hAnsi="Garamond" w:hint="default"/>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w:t>
      </w:r>
      <w:r>
        <w:rPr>
          <w:rFonts w:ascii="Garamond" w:hAnsi="Garamond"/>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Interno del 29 aprile 2022, in applicazione dell</w:t>
      </w:r>
      <w:r>
        <w:rPr>
          <w:rFonts w:ascii="Garamond" w:hAnsi="Garamond" w:hint="default"/>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w:t>
      </w:r>
      <w:r>
        <w:rPr>
          <w:rFonts w:ascii="Garamond" w:hAnsi="Garamond"/>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art.12 bis co.1 lett. c) e d) del D.L. 27 gennaio 2022 n.4, convertito con modificazioni nella Legge 28 marzo 2022 n.25, al fine di supportare gli enti locali per l</w:t>
      </w:r>
      <w:r>
        <w:rPr>
          <w:rFonts w:ascii="Garamond" w:hAnsi="Garamond" w:hint="default"/>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w:t>
      </w:r>
      <w:r>
        <w:rPr>
          <w:rFonts w:ascii="Garamond" w:hAnsi="Garamond"/>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attuazione degli interventi e la realizzazione degli obiettivi previsti dal Piano Nazionale di Ripresa e Resilienza (PNRR), ha definito criteri e modalit</w:t>
      </w:r>
      <w:r>
        <w:rPr>
          <w:rFonts w:ascii="Garamond" w:hAnsi="Garamond" w:hint="default"/>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 xml:space="preserve">à </w:t>
      </w:r>
      <w:r>
        <w:rPr>
          <w:rFonts w:ascii="Garamond" w:hAnsi="Garamond"/>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per autorizzare l</w:t>
      </w:r>
      <w:r>
        <w:rPr>
          <w:rFonts w:ascii="Garamond" w:hAnsi="Garamond" w:hint="default"/>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w:t>
      </w:r>
      <w:r>
        <w:rPr>
          <w:rFonts w:ascii="Garamond" w:hAnsi="Garamond"/>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assunzione della titolarit</w:t>
      </w:r>
      <w:r>
        <w:rPr>
          <w:rFonts w:ascii="Garamond" w:hAnsi="Garamond" w:hint="default"/>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 xml:space="preserve">à </w:t>
      </w:r>
      <w:r>
        <w:rPr>
          <w:rFonts w:ascii="Garamond" w:hAnsi="Garamond"/>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 xml:space="preserve">presso sedi di Segreteria, singole o convenzionate, aventi una popolazione compresa tra i 3.000 ed i 5.000 abitanti, da parte di Segretari Comunali e Provinciali iscritti nella fascia professionale </w:t>
      </w:r>
      <w:r>
        <w:rPr>
          <w:rFonts w:ascii="Garamond" w:hAnsi="Garamond" w:hint="default"/>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w:t>
      </w:r>
      <w:r>
        <w:rPr>
          <w:rFonts w:ascii="Garamond" w:hAnsi="Garamond"/>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C</w:t>
      </w:r>
      <w:r>
        <w:rPr>
          <w:rFonts w:ascii="Garamond" w:hAnsi="Garamond" w:hint="default"/>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w:t>
      </w:r>
      <w:r>
        <w:rPr>
          <w:rFonts w:ascii="Garamond" w:hAnsi="Garamond"/>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 xml:space="preserve">, con il riconoscimento del trattamento economico previsto per la sede superiore (fascia </w:t>
      </w:r>
      <w:r>
        <w:rPr>
          <w:rFonts w:ascii="Garamond" w:hAnsi="Garamond" w:hint="default"/>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w:t>
      </w:r>
      <w:r>
        <w:rPr>
          <w:rFonts w:ascii="Garamond" w:hAnsi="Garamond"/>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B</w:t>
      </w:r>
      <w:r>
        <w:rPr>
          <w:rFonts w:ascii="Garamond" w:hAnsi="Garamond" w:hint="default"/>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w:t>
      </w:r>
      <w:r>
        <w:rPr>
          <w:rFonts w:ascii="Garamond" w:hAnsi="Garamond"/>
          <w:caps w:val="0"/>
          <w:smallCaps w:val="0"/>
          <w:strike w:val="0"/>
          <w:dstrike w:val="0"/>
          <w:outline w:val="0"/>
          <w:color w:val="000000"/>
          <w:spacing w:val="0"/>
          <w:kern w:val="0"/>
          <w:position w:val="0"/>
          <w:sz w:val="22"/>
          <w:szCs w:val="22"/>
          <w:u w:val="none" w:color="000000"/>
          <w:shd w:val="nil" w:color="auto" w:fill="auto"/>
          <w:vertAlign w:val="baseline"/>
          <w:rtl w:val="0"/>
          <w:lang w:val="it-IT"/>
          <w14:textOutline w14:w="12700" w14:cap="flat">
            <w14:noFill/>
            <w14:miter w14:lim="400000"/>
          </w14:textOutline>
          <w14:textFill>
            <w14:solidFill>
              <w14:srgbClr w14:val="000000"/>
            </w14:solidFill>
          </w14:textFill>
        </w:rPr>
        <w:t>);</w:t>
      </w:r>
    </w:p>
    <w:p>
      <w:pPr>
        <w:pStyle w:val="Normal.0"/>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Garamond" w:cs="Garamond" w:hAnsi="Garamond" w:eastAsia="Garamond"/>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pPr>
    </w:p>
    <w:p>
      <w:pPr>
        <w:pStyle w:val="Di 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Garamond" w:cs="Garamond" w:hAnsi="Garamond" w:eastAsia="Garamond"/>
          <w:sz w:val="22"/>
          <w:szCs w:val="22"/>
          <w:u w:color="000000"/>
          <w14:textOutline w14:w="12700" w14:cap="flat">
            <w14:noFill/>
            <w14:miter w14:lim="400000"/>
          </w14:textOutline>
        </w:rPr>
      </w:pPr>
      <w:r>
        <w:rPr>
          <w:rFonts w:ascii="Garamond" w:hAnsi="Garamond"/>
          <w:b w:val="1"/>
          <w:bCs w:val="1"/>
          <w:caps w:val="1"/>
          <w:sz w:val="22"/>
          <w:szCs w:val="22"/>
          <w:u w:color="000000"/>
          <w:rtl w:val="0"/>
          <w:lang w:val="it-IT"/>
          <w14:textOutline w14:w="12700" w14:cap="flat">
            <w14:noFill/>
            <w14:miter w14:lim="400000"/>
          </w14:textOutline>
        </w:rPr>
        <w:t>Richiamato</w:t>
      </w:r>
      <w:r>
        <w:rPr>
          <w:rFonts w:ascii="Garamond" w:hAnsi="Garamond"/>
          <w:b w:val="1"/>
          <w:bCs w:val="1"/>
          <w:sz w:val="22"/>
          <w:szCs w:val="22"/>
          <w:u w:color="000000"/>
          <w:rtl w:val="0"/>
          <w:lang w:val="it-IT"/>
          <w14:textOutline w14:w="12700" w14:cap="flat">
            <w14:noFill/>
            <w14:miter w14:lim="400000"/>
          </w14:textOutline>
        </w:rPr>
        <w:t xml:space="preserve"> </w:t>
      </w:r>
      <w:r>
        <w:rPr>
          <w:rFonts w:ascii="Garamond" w:hAnsi="Garamond"/>
          <w:sz w:val="22"/>
          <w:szCs w:val="22"/>
          <w:u w:color="000000"/>
          <w:rtl w:val="0"/>
          <w:lang w:val="it-IT"/>
          <w14:textOutline w14:w="12700" w14:cap="flat">
            <w14:noFill/>
            <w14:miter w14:lim="400000"/>
          </w14:textOutline>
        </w:rPr>
        <w:t>l</w:t>
      </w:r>
      <w:r>
        <w:rPr>
          <w:rFonts w:ascii="Garamond" w:hAnsi="Garamond" w:hint="default"/>
          <w:sz w:val="22"/>
          <w:szCs w:val="22"/>
          <w:u w:color="000000"/>
          <w:rtl w:val="0"/>
          <w:lang w:val="it-IT"/>
          <w14:textOutline w14:w="12700" w14:cap="flat">
            <w14:noFill/>
            <w14:miter w14:lim="400000"/>
          </w14:textOutline>
        </w:rPr>
        <w:t>’</w:t>
      </w:r>
      <w:r>
        <w:rPr>
          <w:rFonts w:ascii="Garamond" w:hAnsi="Garamond"/>
          <w:sz w:val="22"/>
          <w:szCs w:val="22"/>
          <w:u w:color="000000"/>
          <w:rtl w:val="0"/>
          <w:lang w:val="it-IT"/>
          <w14:textOutline w14:w="12700" w14:cap="flat">
            <w14:noFill/>
            <w14:miter w14:lim="400000"/>
          </w14:textOutline>
        </w:rPr>
        <w:t>art.18-quater (Disposizioni in materia di segretari comunali) della Legge n.143 del 07.10.2024, di conversione con modificazione del Decreto Legge n.113/2024, il quale dispone:</w:t>
      </w:r>
    </w:p>
    <w:p>
      <w:pPr>
        <w:pStyle w:val="Normal.0"/>
        <w:widowControl w:val="1"/>
        <w:numPr>
          <w:ilvl w:val="0"/>
          <w:numId w:val="3"/>
        </w:numPr>
        <w:bidi w:val="0"/>
        <w:ind w:right="0"/>
        <w:jc w:val="both"/>
        <w:rPr>
          <w:rFonts w:ascii="Garamond" w:hAnsi="Garamond"/>
          <w:i w:val="1"/>
          <w:iCs w:val="1"/>
          <w:outline w:val="0"/>
          <w:color w:val="212121"/>
          <w:sz w:val="22"/>
          <w:szCs w:val="22"/>
          <w:rtl w:val="0"/>
          <w:lang w:val="it-IT"/>
          <w14:textFill>
            <w14:solidFill>
              <w14:srgbClr w14:val="212121"/>
            </w14:solidFill>
          </w14:textFill>
        </w:rPr>
      </w:pPr>
      <w:r>
        <w:rPr>
          <w:rFonts w:ascii="Garamond" w:hAnsi="Garamond"/>
          <w:i w:val="1"/>
          <w:iCs w:val="1"/>
          <w:caps w:val="0"/>
          <w:smallCaps w:val="0"/>
          <w:strike w:val="0"/>
          <w:dstrike w:val="0"/>
          <w:outline w:val="0"/>
          <w:color w:val="212121"/>
          <w:spacing w:val="0"/>
          <w:kern w:val="0"/>
          <w:position w:val="0"/>
          <w:sz w:val="22"/>
          <w:szCs w:val="22"/>
          <w:u w:val="none" w:color="212121"/>
          <w:shd w:val="nil" w:color="auto" w:fill="auto"/>
          <w:vertAlign w:val="baseline"/>
          <w:rtl w:val="0"/>
          <w:lang w:val="it-IT"/>
          <w14:textOutline w14:w="12700" w14:cap="flat">
            <w14:noFill/>
            <w14:miter w14:lim="400000"/>
          </w14:textOutline>
          <w14:textFill>
            <w14:solidFill>
              <w14:srgbClr w14:val="212121"/>
            </w14:solidFill>
          </w14:textFill>
        </w:rPr>
        <w:t>1. Il segretario comunale iscritto nella fascia iniziale di accesso in carriera, per tutto il periodo in cui permane l'iscrizione in tale fascia, pu</w:t>
      </w:r>
      <w:r>
        <w:rPr>
          <w:rFonts w:ascii="Garamond" w:hAnsi="Garamond" w:hint="default"/>
          <w:i w:val="1"/>
          <w:iCs w:val="1"/>
          <w:caps w:val="0"/>
          <w:smallCaps w:val="0"/>
          <w:strike w:val="0"/>
          <w:dstrike w:val="0"/>
          <w:outline w:val="0"/>
          <w:color w:val="212121"/>
          <w:spacing w:val="0"/>
          <w:kern w:val="0"/>
          <w:position w:val="0"/>
          <w:sz w:val="22"/>
          <w:szCs w:val="22"/>
          <w:u w:val="none" w:color="212121"/>
          <w:shd w:val="nil" w:color="auto" w:fill="auto"/>
          <w:vertAlign w:val="baseline"/>
          <w:rtl w:val="0"/>
          <w:lang w:val="it-IT"/>
          <w14:textOutline w14:w="12700" w14:cap="flat">
            <w14:noFill/>
            <w14:miter w14:lim="400000"/>
          </w14:textOutline>
          <w14:textFill>
            <w14:solidFill>
              <w14:srgbClr w14:val="212121"/>
            </w14:solidFill>
          </w14:textFill>
        </w:rPr>
        <w:t xml:space="preserve">ò </w:t>
      </w:r>
      <w:r>
        <w:rPr>
          <w:rFonts w:ascii="Garamond" w:hAnsi="Garamond"/>
          <w:i w:val="1"/>
          <w:iCs w:val="1"/>
          <w:caps w:val="0"/>
          <w:smallCaps w:val="0"/>
          <w:strike w:val="0"/>
          <w:dstrike w:val="0"/>
          <w:outline w:val="0"/>
          <w:color w:val="212121"/>
          <w:spacing w:val="0"/>
          <w:kern w:val="0"/>
          <w:position w:val="0"/>
          <w:sz w:val="22"/>
          <w:szCs w:val="22"/>
          <w:u w:val="none" w:color="212121"/>
          <w:shd w:val="nil" w:color="auto" w:fill="auto"/>
          <w:vertAlign w:val="baseline"/>
          <w:rtl w:val="0"/>
          <w:lang w:val="it-IT"/>
          <w14:textOutline w14:w="12700" w14:cap="flat">
            <w14:noFill/>
            <w14:miter w14:lim="400000"/>
          </w14:textOutline>
          <w14:textFill>
            <w14:solidFill>
              <w14:srgbClr w14:val="212121"/>
            </w14:solidFill>
          </w14:textFill>
        </w:rPr>
        <w:t>essere autorizzato allo svolgimento degli  incarichi  di cui all'articolo 12-bis, comma 1, lettera b),  del  decreto-legge  27 gennaio 2022, n. 4, convertito, con  modificazioni,  dalla  legge  28 marzo 2022, n. 25, per un periodo non superiore a  ventiquattro  mesi complessivi;</w:t>
      </w:r>
    </w:p>
    <w:p>
      <w:pPr>
        <w:pStyle w:val="Normal.0"/>
        <w:widowControl w:val="1"/>
        <w:numPr>
          <w:ilvl w:val="0"/>
          <w:numId w:val="3"/>
        </w:numPr>
        <w:bidi w:val="0"/>
        <w:ind w:right="0"/>
        <w:jc w:val="both"/>
        <w:rPr>
          <w:rFonts w:ascii="Garamond" w:hAnsi="Garamond"/>
          <w:i w:val="1"/>
          <w:iCs w:val="1"/>
          <w:outline w:val="0"/>
          <w:color w:val="212121"/>
          <w:sz w:val="22"/>
          <w:szCs w:val="22"/>
          <w:rtl w:val="0"/>
          <w:lang w:val="it-IT"/>
          <w14:textFill>
            <w14:solidFill>
              <w14:srgbClr w14:val="212121"/>
            </w14:solidFill>
          </w14:textFill>
        </w:rPr>
      </w:pPr>
      <w:r>
        <w:rPr>
          <w:rFonts w:ascii="Garamond" w:hAnsi="Garamond"/>
          <w:i w:val="1"/>
          <w:iCs w:val="1"/>
          <w:caps w:val="0"/>
          <w:smallCaps w:val="0"/>
          <w:strike w:val="0"/>
          <w:dstrike w:val="0"/>
          <w:outline w:val="0"/>
          <w:color w:val="212121"/>
          <w:spacing w:val="0"/>
          <w:kern w:val="0"/>
          <w:position w:val="0"/>
          <w:sz w:val="22"/>
          <w:szCs w:val="22"/>
          <w:u w:val="none" w:color="212121"/>
          <w:shd w:val="nil" w:color="auto" w:fill="auto"/>
          <w:vertAlign w:val="baseline"/>
          <w:rtl w:val="0"/>
          <w:lang w:val="it-IT"/>
          <w14:textOutline w14:w="12700" w14:cap="flat">
            <w14:noFill/>
            <w14:miter w14:lim="400000"/>
          </w14:textOutline>
          <w14:textFill>
            <w14:solidFill>
              <w14:srgbClr w14:val="212121"/>
            </w14:solidFill>
          </w14:textFill>
        </w:rPr>
        <w:t>2. A seguito di vacanza della sede, anche per decorso del periodo massimo di incarico di cui al comma 1, il  sindaco avvia la pubblicizzazione della relativa sede di segreteria per la nomina di un segretario avente gli ordinari requisiti. Ove tale procedura sia andata deserta, il sindaco pu</w:t>
      </w:r>
      <w:r>
        <w:rPr>
          <w:rFonts w:ascii="Garamond" w:hAnsi="Garamond" w:hint="default"/>
          <w:i w:val="1"/>
          <w:iCs w:val="1"/>
          <w:caps w:val="0"/>
          <w:smallCaps w:val="0"/>
          <w:strike w:val="0"/>
          <w:dstrike w:val="0"/>
          <w:outline w:val="0"/>
          <w:color w:val="212121"/>
          <w:spacing w:val="0"/>
          <w:kern w:val="0"/>
          <w:position w:val="0"/>
          <w:sz w:val="22"/>
          <w:szCs w:val="22"/>
          <w:u w:val="none" w:color="212121"/>
          <w:shd w:val="nil" w:color="auto" w:fill="auto"/>
          <w:vertAlign w:val="baseline"/>
          <w:rtl w:val="0"/>
          <w:lang w:val="it-IT"/>
          <w14:textOutline w14:w="12700" w14:cap="flat">
            <w14:noFill/>
            <w14:miter w14:lim="400000"/>
          </w14:textOutline>
          <w14:textFill>
            <w14:solidFill>
              <w14:srgbClr w14:val="212121"/>
            </w14:solidFill>
          </w14:textFill>
        </w:rPr>
        <w:t xml:space="preserve">ò </w:t>
      </w:r>
      <w:r>
        <w:rPr>
          <w:rFonts w:ascii="Garamond" w:hAnsi="Garamond"/>
          <w:i w:val="1"/>
          <w:iCs w:val="1"/>
          <w:caps w:val="0"/>
          <w:smallCaps w:val="0"/>
          <w:strike w:val="0"/>
          <w:dstrike w:val="0"/>
          <w:outline w:val="0"/>
          <w:color w:val="212121"/>
          <w:spacing w:val="0"/>
          <w:kern w:val="0"/>
          <w:position w:val="0"/>
          <w:sz w:val="22"/>
          <w:szCs w:val="22"/>
          <w:u w:val="none" w:color="212121"/>
          <w:shd w:val="nil" w:color="auto" w:fill="auto"/>
          <w:vertAlign w:val="baseline"/>
          <w:rtl w:val="0"/>
          <w:lang w:val="it-IT"/>
          <w14:textOutline w14:w="12700" w14:cap="flat">
            <w14:noFill/>
            <w14:miter w14:lim="400000"/>
          </w14:textOutline>
          <w14:textFill>
            <w14:solidFill>
              <w14:srgbClr w14:val="212121"/>
            </w14:solidFill>
          </w14:textFill>
        </w:rPr>
        <w:t>procedere ad una nuova pubblicizzazione della sede aperta anche ai segretari iscritti nella fascia iniziale di accesso in carriera.  Nell'ipotesi  in cui sia individuato un segretario iscritto nella fascia iniziale di accesso in carriera che abbia espletato le funzioni di cui al citato articolo 12-bis del decreto-legge n. 4 del 2022  per  il  periodo  massimo  di ventiquattro mesi, ivi incluso il segretario gi</w:t>
      </w:r>
      <w:r>
        <w:rPr>
          <w:rFonts w:ascii="Garamond" w:hAnsi="Garamond" w:hint="default"/>
          <w:i w:val="1"/>
          <w:iCs w:val="1"/>
          <w:caps w:val="0"/>
          <w:smallCaps w:val="0"/>
          <w:strike w:val="0"/>
          <w:dstrike w:val="0"/>
          <w:outline w:val="0"/>
          <w:color w:val="212121"/>
          <w:spacing w:val="0"/>
          <w:kern w:val="0"/>
          <w:position w:val="0"/>
          <w:sz w:val="22"/>
          <w:szCs w:val="22"/>
          <w:u w:val="none" w:color="212121"/>
          <w:shd w:val="nil" w:color="auto" w:fill="auto"/>
          <w:vertAlign w:val="baseline"/>
          <w:rtl w:val="0"/>
          <w:lang w:val="it-IT"/>
          <w14:textOutline w14:w="12700" w14:cap="flat">
            <w14:noFill/>
            <w14:miter w14:lim="400000"/>
          </w14:textOutline>
          <w14:textFill>
            <w14:solidFill>
              <w14:srgbClr w14:val="212121"/>
            </w14:solidFill>
          </w14:textFill>
        </w:rPr>
        <w:t xml:space="preserve">à </w:t>
      </w:r>
      <w:r>
        <w:rPr>
          <w:rFonts w:ascii="Garamond" w:hAnsi="Garamond"/>
          <w:i w:val="1"/>
          <w:iCs w:val="1"/>
          <w:caps w:val="0"/>
          <w:smallCaps w:val="0"/>
          <w:strike w:val="0"/>
          <w:dstrike w:val="0"/>
          <w:outline w:val="0"/>
          <w:color w:val="212121"/>
          <w:spacing w:val="0"/>
          <w:kern w:val="0"/>
          <w:position w:val="0"/>
          <w:sz w:val="22"/>
          <w:szCs w:val="22"/>
          <w:u w:val="none" w:color="212121"/>
          <w:shd w:val="nil" w:color="auto" w:fill="auto"/>
          <w:vertAlign w:val="baseline"/>
          <w:rtl w:val="0"/>
          <w:lang w:val="it-IT"/>
          <w14:textOutline w14:w="12700" w14:cap="flat">
            <w14:noFill/>
            <w14:miter w14:lim="400000"/>
          </w14:textOutline>
          <w14:textFill>
            <w14:solidFill>
              <w14:srgbClr w14:val="212121"/>
            </w14:solidFill>
          </w14:textFill>
        </w:rPr>
        <w:t>titolare della medesima sede, il sindaco pu</w:t>
      </w:r>
      <w:r>
        <w:rPr>
          <w:rFonts w:ascii="Garamond" w:hAnsi="Garamond" w:hint="default"/>
          <w:i w:val="1"/>
          <w:iCs w:val="1"/>
          <w:caps w:val="0"/>
          <w:smallCaps w:val="0"/>
          <w:strike w:val="0"/>
          <w:dstrike w:val="0"/>
          <w:outline w:val="0"/>
          <w:color w:val="212121"/>
          <w:spacing w:val="0"/>
          <w:kern w:val="0"/>
          <w:position w:val="0"/>
          <w:sz w:val="22"/>
          <w:szCs w:val="22"/>
          <w:u w:val="none" w:color="212121"/>
          <w:shd w:val="nil" w:color="auto" w:fill="auto"/>
          <w:vertAlign w:val="baseline"/>
          <w:rtl w:val="0"/>
          <w:lang w:val="it-IT"/>
          <w14:textOutline w14:w="12700" w14:cap="flat">
            <w14:noFill/>
            <w14:miter w14:lim="400000"/>
          </w14:textOutline>
          <w14:textFill>
            <w14:solidFill>
              <w14:srgbClr w14:val="212121"/>
            </w14:solidFill>
          </w14:textFill>
        </w:rPr>
        <w:t xml:space="preserve">ò </w:t>
      </w:r>
      <w:r>
        <w:rPr>
          <w:rFonts w:ascii="Garamond" w:hAnsi="Garamond"/>
          <w:i w:val="1"/>
          <w:iCs w:val="1"/>
          <w:caps w:val="0"/>
          <w:smallCaps w:val="0"/>
          <w:strike w:val="0"/>
          <w:dstrike w:val="0"/>
          <w:outline w:val="0"/>
          <w:color w:val="212121"/>
          <w:spacing w:val="0"/>
          <w:kern w:val="0"/>
          <w:position w:val="0"/>
          <w:sz w:val="22"/>
          <w:szCs w:val="22"/>
          <w:u w:val="none" w:color="212121"/>
          <w:shd w:val="nil" w:color="auto" w:fill="auto"/>
          <w:vertAlign w:val="baseline"/>
          <w:rtl w:val="0"/>
          <w:lang w:val="it-IT"/>
          <w14:textOutline w14:w="12700" w14:cap="flat">
            <w14:noFill/>
            <w14:miter w14:lim="400000"/>
          </w14:textOutline>
          <w14:textFill>
            <w14:solidFill>
              <w14:srgbClr w14:val="212121"/>
            </w14:solidFill>
          </w14:textFill>
        </w:rPr>
        <w:t>richiedere al  Ministero dell</w:t>
      </w:r>
      <w:r>
        <w:rPr>
          <w:rFonts w:ascii="Garamond" w:hAnsi="Garamond" w:hint="default"/>
          <w:i w:val="1"/>
          <w:iCs w:val="1"/>
          <w:caps w:val="0"/>
          <w:smallCaps w:val="0"/>
          <w:strike w:val="0"/>
          <w:dstrike w:val="0"/>
          <w:outline w:val="0"/>
          <w:color w:val="212121"/>
          <w:spacing w:val="0"/>
          <w:kern w:val="0"/>
          <w:position w:val="0"/>
          <w:sz w:val="22"/>
          <w:szCs w:val="22"/>
          <w:u w:val="none" w:color="212121"/>
          <w:shd w:val="nil" w:color="auto" w:fill="auto"/>
          <w:vertAlign w:val="baseline"/>
          <w:rtl w:val="0"/>
          <w:lang w:val="it-IT"/>
          <w14:textOutline w14:w="12700" w14:cap="flat">
            <w14:noFill/>
            <w14:miter w14:lim="400000"/>
          </w14:textOutline>
          <w14:textFill>
            <w14:solidFill>
              <w14:srgbClr w14:val="212121"/>
            </w14:solidFill>
          </w14:textFill>
        </w:rPr>
        <w:t>’</w:t>
      </w:r>
      <w:r>
        <w:rPr>
          <w:rFonts w:ascii="Garamond" w:hAnsi="Garamond"/>
          <w:i w:val="1"/>
          <w:iCs w:val="1"/>
          <w:caps w:val="0"/>
          <w:smallCaps w:val="0"/>
          <w:strike w:val="0"/>
          <w:dstrike w:val="0"/>
          <w:outline w:val="0"/>
          <w:color w:val="212121"/>
          <w:spacing w:val="0"/>
          <w:kern w:val="0"/>
          <w:position w:val="0"/>
          <w:sz w:val="22"/>
          <w:szCs w:val="22"/>
          <w:u w:val="none" w:color="212121"/>
          <w:shd w:val="nil" w:color="auto" w:fill="auto"/>
          <w:vertAlign w:val="baseline"/>
          <w:rtl w:val="0"/>
          <w:lang w:val="it-IT"/>
          <w14:textOutline w14:w="12700" w14:cap="flat">
            <w14:noFill/>
            <w14:miter w14:lim="400000"/>
          </w14:textOutline>
          <w14:textFill>
            <w14:solidFill>
              <w14:srgbClr w14:val="212121"/>
            </w14:solidFill>
          </w14:textFill>
        </w:rPr>
        <w:t>interno l'autorizzazione a conferire un nuovo incarico di durata non superiore a dodici mesi;</w:t>
      </w:r>
    </w:p>
    <w:p>
      <w:pPr>
        <w:pStyle w:val="Normal.0"/>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Fonts w:ascii="Garamond" w:cs="Garamond" w:hAnsi="Garamond" w:eastAsia="Garamond"/>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pPr>
    </w:p>
    <w:p>
      <w:pPr>
        <w:pStyle w:val="Di 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Garamond" w:cs="Garamond" w:hAnsi="Garamond" w:eastAsia="Garamond"/>
          <w:sz w:val="22"/>
          <w:szCs w:val="22"/>
          <w:u w:color="000000"/>
          <w14:textOutline w14:w="12700" w14:cap="flat">
            <w14:noFill/>
            <w14:miter w14:lim="400000"/>
          </w14:textOutline>
        </w:rPr>
      </w:pPr>
      <w:r>
        <w:rPr>
          <w:rFonts w:ascii="Garamond" w:hAnsi="Garamond"/>
          <w:b w:val="1"/>
          <w:bCs w:val="1"/>
          <w:sz w:val="22"/>
          <w:szCs w:val="22"/>
          <w:u w:color="000000"/>
          <w:rtl w:val="0"/>
          <w:lang w:val="it-IT"/>
          <w14:textOutline w14:w="12700" w14:cap="flat">
            <w14:noFill/>
            <w14:miter w14:lim="400000"/>
          </w14:textOutline>
        </w:rPr>
        <w:t xml:space="preserve">VISTO </w:t>
      </w:r>
      <w:r>
        <w:rPr>
          <w:rFonts w:ascii="Garamond" w:hAnsi="Garamond"/>
          <w:sz w:val="22"/>
          <w:szCs w:val="22"/>
          <w:u w:color="000000"/>
          <w:rtl w:val="0"/>
          <w:lang w:val="it-IT"/>
          <w14:textOutline w14:w="12700" w14:cap="flat">
            <w14:noFill/>
            <w14:miter w14:lim="400000"/>
          </w14:textOutline>
        </w:rPr>
        <w:t>l</w:t>
      </w:r>
      <w:r>
        <w:rPr>
          <w:rFonts w:ascii="Garamond" w:hAnsi="Garamond" w:hint="default"/>
          <w:sz w:val="22"/>
          <w:szCs w:val="22"/>
          <w:u w:color="000000"/>
          <w:rtl w:val="0"/>
          <w:lang w:val="it-IT"/>
          <w14:textOutline w14:w="12700" w14:cap="flat">
            <w14:noFill/>
            <w14:miter w14:lim="400000"/>
          </w14:textOutline>
        </w:rPr>
        <w:t>’</w:t>
      </w:r>
      <w:r>
        <w:rPr>
          <w:rFonts w:ascii="Garamond" w:hAnsi="Garamond"/>
          <w:sz w:val="22"/>
          <w:szCs w:val="22"/>
          <w:u w:color="000000"/>
          <w:rtl w:val="0"/>
          <w:lang w:val="it-IT"/>
          <w14:textOutline w14:w="12700" w14:cap="flat">
            <w14:noFill/>
            <w14:miter w14:lim="400000"/>
          </w14:textOutline>
        </w:rPr>
        <w:t xml:space="preserve">art.1, comma 691, della Legge 30.12.2025 n. 199, il quale testualmente recita: </w:t>
      </w:r>
      <w:r>
        <w:rPr>
          <w:rFonts w:ascii="Garamond" w:hAnsi="Garamond" w:hint="default"/>
          <w:i w:val="1"/>
          <w:iCs w:val="1"/>
          <w:sz w:val="22"/>
          <w:szCs w:val="22"/>
          <w:u w:color="000000"/>
          <w:rtl w:val="0"/>
          <w:lang w:val="it-IT"/>
          <w14:textOutline w14:w="12700" w14:cap="flat">
            <w14:noFill/>
            <w14:miter w14:lim="400000"/>
          </w14:textOutline>
        </w:rPr>
        <w:t>“</w:t>
      </w:r>
      <w:r>
        <w:rPr>
          <w:rFonts w:ascii="Garamond" w:hAnsi="Garamond"/>
          <w:i w:val="1"/>
          <w:iCs w:val="1"/>
          <w:sz w:val="22"/>
          <w:szCs w:val="22"/>
          <w:u w:color="000000"/>
          <w:rtl w:val="0"/>
          <w:lang w:val="it-IT"/>
          <w14:textOutline w14:w="12700" w14:cap="flat">
            <w14:noFill/>
            <w14:miter w14:lim="400000"/>
          </w14:textOutline>
        </w:rPr>
        <w:t>Al fine di garantire la continuit</w:t>
      </w:r>
      <w:r>
        <w:rPr>
          <w:rFonts w:ascii="Garamond" w:hAnsi="Garamond" w:hint="default"/>
          <w:i w:val="1"/>
          <w:iCs w:val="1"/>
          <w:sz w:val="22"/>
          <w:szCs w:val="22"/>
          <w:u w:color="000000"/>
          <w:rtl w:val="0"/>
          <w:lang w:val="it-IT"/>
          <w14:textOutline w14:w="12700" w14:cap="flat">
            <w14:noFill/>
            <w14:miter w14:lim="400000"/>
          </w14:textOutline>
        </w:rPr>
        <w:t xml:space="preserve">à </w:t>
      </w:r>
      <w:r>
        <w:rPr>
          <w:rFonts w:ascii="Garamond" w:hAnsi="Garamond"/>
          <w:i w:val="1"/>
          <w:iCs w:val="1"/>
          <w:sz w:val="22"/>
          <w:szCs w:val="22"/>
          <w:u w:color="000000"/>
          <w:rtl w:val="0"/>
          <w:lang w:val="it-IT"/>
          <w14:textOutline w14:w="12700" w14:cap="flat">
            <w14:noFill/>
            <w14:miter w14:lim="400000"/>
          </w14:textOutline>
        </w:rPr>
        <w:t>amministrativa negli enti locali di piccole dimensioni nonch</w:t>
      </w:r>
      <w:r>
        <w:rPr>
          <w:rFonts w:ascii="Garamond" w:hAnsi="Garamond" w:hint="default"/>
          <w:i w:val="1"/>
          <w:iCs w:val="1"/>
          <w:sz w:val="22"/>
          <w:szCs w:val="22"/>
          <w:u w:color="000000"/>
          <w:rtl w:val="0"/>
          <w:lang w:val="it-IT"/>
          <w14:textOutline w14:w="12700" w14:cap="flat">
            <w14:noFill/>
            <w14:miter w14:lim="400000"/>
          </w14:textOutline>
        </w:rPr>
        <w:t xml:space="preserve">é </w:t>
      </w:r>
      <w:r>
        <w:rPr>
          <w:rFonts w:ascii="Garamond" w:hAnsi="Garamond"/>
          <w:i w:val="1"/>
          <w:iCs w:val="1"/>
          <w:sz w:val="22"/>
          <w:szCs w:val="22"/>
          <w:u w:color="000000"/>
          <w:rtl w:val="0"/>
          <w:lang w:val="it-IT"/>
          <w14:textOutline w14:w="12700" w14:cap="flat">
            <w14:noFill/>
            <w14:miter w14:lim="400000"/>
          </w14:textOutline>
        </w:rPr>
        <w:t>l'attuazione degli interventi e la realizzazione degli obiettivi previsti dal PNRR, gli incarichi di cui all'</w:t>
      </w:r>
      <w:r>
        <w:rPr>
          <w:rFonts w:ascii="Garamond" w:hAnsi="Garamond"/>
          <w:i w:val="1"/>
          <w:iCs w:val="1"/>
          <w:sz w:val="22"/>
          <w:szCs w:val="22"/>
          <w:u w:color="0066cc"/>
          <w:rtl w:val="0"/>
          <w:lang w:val="it-IT"/>
          <w14:textOutline w14:w="12700" w14:cap="flat">
            <w14:noFill/>
            <w14:miter w14:lim="400000"/>
          </w14:textOutline>
        </w:rPr>
        <w:t>articolo 18-quater del decreto-legge 9 agosto 2024, n. 113</w:t>
      </w:r>
      <w:r>
        <w:rPr>
          <w:rFonts w:ascii="Garamond" w:hAnsi="Garamond"/>
          <w:i w:val="1"/>
          <w:iCs w:val="1"/>
          <w:sz w:val="22"/>
          <w:szCs w:val="22"/>
          <w:u w:color="000000"/>
          <w:rtl w:val="0"/>
          <w:lang w:val="it-IT"/>
          <w14:textOutline w14:w="12700" w14:cap="flat">
            <w14:noFill/>
            <w14:miter w14:lim="400000"/>
          </w14:textOutline>
        </w:rPr>
        <w:t xml:space="preserve">, convertito, con modificazioni, dalla </w:t>
      </w:r>
      <w:r>
        <w:rPr>
          <w:rFonts w:ascii="Garamond" w:hAnsi="Garamond"/>
          <w:i w:val="1"/>
          <w:iCs w:val="1"/>
          <w:sz w:val="22"/>
          <w:szCs w:val="22"/>
          <w:u w:color="0066cc"/>
          <w:rtl w:val="0"/>
          <w:lang w:val="it-IT"/>
          <w14:textOutline w14:w="12700" w14:cap="flat">
            <w14:noFill/>
            <w14:miter w14:lim="400000"/>
          </w14:textOutline>
        </w:rPr>
        <w:t>legge 7 ottobre 2024, n. 143</w:t>
      </w:r>
      <w:r>
        <w:rPr>
          <w:rFonts w:ascii="Garamond" w:hAnsi="Garamond"/>
          <w:i w:val="1"/>
          <w:iCs w:val="1"/>
          <w:sz w:val="22"/>
          <w:szCs w:val="22"/>
          <w:u w:color="000000"/>
          <w:rtl w:val="0"/>
          <w:lang w:val="it-IT"/>
          <w14:textOutline w14:w="12700" w14:cap="flat">
            <w14:noFill/>
            <w14:miter w14:lim="400000"/>
          </w14:textOutline>
        </w:rPr>
        <w:t>, possono essere conferiti, fermo restando il rispetto delle modalit</w:t>
      </w:r>
      <w:r>
        <w:rPr>
          <w:rFonts w:ascii="Garamond" w:hAnsi="Garamond" w:hint="default"/>
          <w:i w:val="1"/>
          <w:iCs w:val="1"/>
          <w:sz w:val="22"/>
          <w:szCs w:val="22"/>
          <w:u w:color="000000"/>
          <w:rtl w:val="0"/>
          <w:lang w:val="it-IT"/>
          <w14:textOutline w14:w="12700" w14:cap="flat">
            <w14:noFill/>
            <w14:miter w14:lim="400000"/>
          </w14:textOutline>
        </w:rPr>
        <w:t xml:space="preserve">à </w:t>
      </w:r>
      <w:r>
        <w:rPr>
          <w:rFonts w:ascii="Garamond" w:hAnsi="Garamond"/>
          <w:i w:val="1"/>
          <w:iCs w:val="1"/>
          <w:sz w:val="22"/>
          <w:szCs w:val="22"/>
          <w:u w:color="000000"/>
          <w:rtl w:val="0"/>
          <w:lang w:val="it-IT"/>
          <w14:textOutline w14:w="12700" w14:cap="flat">
            <w14:noFill/>
            <w14:miter w14:lim="400000"/>
          </w14:textOutline>
        </w:rPr>
        <w:t>ivi previste, per ulteriori dodici mesi</w:t>
      </w:r>
      <w:r>
        <w:rPr>
          <w:rFonts w:ascii="Garamond" w:hAnsi="Garamond" w:hint="default"/>
          <w:i w:val="1"/>
          <w:iCs w:val="1"/>
          <w:sz w:val="22"/>
          <w:szCs w:val="22"/>
          <w:u w:color="000000"/>
          <w:rtl w:val="0"/>
          <w:lang w:val="it-IT"/>
          <w14:textOutline w14:w="12700" w14:cap="flat">
            <w14:noFill/>
            <w14:miter w14:lim="400000"/>
          </w14:textOutline>
        </w:rPr>
        <w:t>”</w:t>
      </w:r>
      <w:r>
        <w:rPr>
          <w:rFonts w:ascii="Garamond" w:hAnsi="Garamond"/>
          <w:i w:val="1"/>
          <w:iCs w:val="1"/>
          <w:sz w:val="22"/>
          <w:szCs w:val="22"/>
          <w:u w:color="000000"/>
          <w:rtl w:val="0"/>
          <w:lang w:val="it-IT"/>
          <w14:textOutline w14:w="12700" w14:cap="flat">
            <w14:noFill/>
            <w14:miter w14:lim="400000"/>
          </w14:textOutline>
        </w:rPr>
        <w:t>;</w:t>
      </w:r>
    </w:p>
    <w:p>
      <w:pPr>
        <w:pStyle w:val="ASL-Paragrafo"/>
        <w:jc w:val="both"/>
        <w:rPr>
          <w:rFonts w:ascii="Garamond" w:cs="Garamond" w:hAnsi="Garamond" w:eastAsia="Garamond"/>
          <w:kern w:val="0"/>
          <w:sz w:val="22"/>
          <w:szCs w:val="22"/>
          <w14:textOutline w14:w="12700" w14:cap="flat">
            <w14:noFill/>
            <w14:miter w14:lim="400000"/>
          </w14:textOutline>
        </w:rPr>
      </w:pPr>
    </w:p>
    <w:p>
      <w:pPr>
        <w:pStyle w:val="ASL-Paragrafo"/>
        <w:jc w:val="both"/>
        <w:rPr>
          <w:rFonts w:ascii="Garamond" w:cs="Garamond" w:hAnsi="Garamond" w:eastAsia="Garamond"/>
          <w:b w:val="1"/>
          <w:bCs w:val="1"/>
          <w:kern w:val="0"/>
          <w:sz w:val="22"/>
          <w:szCs w:val="22"/>
          <w14:textOutline w14:w="12700" w14:cap="flat">
            <w14:noFill/>
            <w14:miter w14:lim="400000"/>
          </w14:textOutline>
        </w:rPr>
      </w:pPr>
      <w:r>
        <w:rPr>
          <w:rFonts w:ascii="Garamond" w:hAnsi="Garamond"/>
          <w:b w:val="1"/>
          <w:bCs w:val="1"/>
          <w:kern w:val="0"/>
          <w:sz w:val="22"/>
          <w:szCs w:val="22"/>
          <w:rtl w:val="0"/>
          <w:lang w:val="it-IT"/>
          <w14:textOutline w14:w="12700" w14:cap="flat">
            <w14:noFill/>
            <w14:miter w14:lim="400000"/>
          </w14:textOutline>
        </w:rPr>
        <w:t>PRESO ATTO:</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del Decreto n. 0022677 del 24.07.2026 con cui il Ministero dell</w:t>
      </w:r>
      <w:r>
        <w:rPr>
          <w:rFonts w:ascii="Garamond" w:hAnsi="Garamond" w:hint="default"/>
          <w:sz w:val="22"/>
          <w:szCs w:val="22"/>
          <w:rtl w:val="0"/>
          <w:lang w:val="it-IT"/>
        </w:rPr>
        <w:t>’</w:t>
      </w:r>
      <w:r>
        <w:rPr>
          <w:rFonts w:ascii="Garamond" w:hAnsi="Garamond"/>
          <w:sz w:val="22"/>
          <w:szCs w:val="22"/>
          <w:rtl w:val="0"/>
          <w:lang w:val="it-IT"/>
        </w:rPr>
        <w:t xml:space="preserve">Interno - Albo Nazionale dei Segretari Comunali e Provinciali ha iscritto, a decorrere dal 27.07.2026, nella fascia professionale </w:t>
      </w:r>
      <w:r>
        <w:rPr>
          <w:rFonts w:ascii="Garamond" w:hAnsi="Garamond" w:hint="default"/>
          <w:sz w:val="22"/>
          <w:szCs w:val="22"/>
          <w:rtl w:val="0"/>
          <w:lang w:val="it-IT"/>
        </w:rPr>
        <w:t>“</w:t>
      </w:r>
      <w:r>
        <w:rPr>
          <w:rFonts w:ascii="Garamond" w:hAnsi="Garamond"/>
          <w:sz w:val="22"/>
          <w:szCs w:val="22"/>
          <w:rtl w:val="0"/>
          <w:lang w:val="it-IT"/>
        </w:rPr>
        <w:t>B</w:t>
      </w:r>
      <w:r>
        <w:rPr>
          <w:rFonts w:ascii="Garamond" w:hAnsi="Garamond" w:hint="default"/>
          <w:sz w:val="22"/>
          <w:szCs w:val="22"/>
          <w:rtl w:val="0"/>
          <w:lang w:val="it-IT"/>
        </w:rPr>
        <w:t xml:space="preserve">” </w:t>
      </w:r>
      <w:r>
        <w:rPr>
          <w:rFonts w:ascii="Garamond" w:hAnsi="Garamond"/>
          <w:sz w:val="22"/>
          <w:szCs w:val="22"/>
          <w:rtl w:val="0"/>
          <w:lang w:val="it-IT"/>
        </w:rPr>
        <w:t>dell</w:t>
      </w:r>
      <w:r>
        <w:rPr>
          <w:rFonts w:ascii="Garamond" w:hAnsi="Garamond" w:hint="default"/>
          <w:sz w:val="22"/>
          <w:szCs w:val="22"/>
          <w:rtl w:val="0"/>
          <w:lang w:val="it-IT"/>
        </w:rPr>
        <w:t>’</w:t>
      </w:r>
      <w:r>
        <w:rPr>
          <w:rFonts w:ascii="Garamond" w:hAnsi="Garamond"/>
          <w:sz w:val="22"/>
          <w:szCs w:val="22"/>
          <w:rtl w:val="0"/>
          <w:lang w:val="it-IT"/>
        </w:rPr>
        <w:t xml:space="preserve">Albo Nazionale dei Segretari Comunali e Provinciali i segretari comunali partecipanti con profitto al Corso di Specializzazione denominato </w:t>
      </w:r>
      <w:r>
        <w:rPr>
          <w:rFonts w:ascii="Garamond" w:hAnsi="Garamond" w:hint="default"/>
          <w:sz w:val="22"/>
          <w:szCs w:val="22"/>
          <w:rtl w:val="0"/>
          <w:lang w:val="it-IT"/>
        </w:rPr>
        <w:t>“</w:t>
      </w:r>
      <w:r>
        <w:rPr>
          <w:rFonts w:ascii="Garamond" w:hAnsi="Garamond"/>
          <w:sz w:val="22"/>
          <w:szCs w:val="22"/>
          <w:rtl w:val="0"/>
          <w:lang w:val="it-IT"/>
        </w:rPr>
        <w:t>Spe.S 2025</w:t>
      </w:r>
      <w:r>
        <w:rPr>
          <w:rFonts w:ascii="Garamond" w:hAnsi="Garamond" w:hint="default"/>
          <w:sz w:val="22"/>
          <w:szCs w:val="22"/>
          <w:rtl w:val="0"/>
          <w:lang w:val="it-IT"/>
        </w:rPr>
        <w:t>”</w:t>
      </w:r>
      <w:r>
        <w:rPr>
          <w:rFonts w:ascii="Garamond" w:hAnsi="Garamond"/>
          <w:sz w:val="22"/>
          <w:szCs w:val="22"/>
          <w:rtl w:val="0"/>
          <w:lang w:val="it-IT"/>
        </w:rPr>
        <w:t>, tra i quali si annovera anche - per quanto qui d</w:t>
      </w:r>
      <w:r>
        <w:rPr>
          <w:rFonts w:ascii="Garamond" w:hAnsi="Garamond" w:hint="default"/>
          <w:sz w:val="22"/>
          <w:szCs w:val="22"/>
          <w:rtl w:val="0"/>
          <w:lang w:val="it-IT"/>
        </w:rPr>
        <w:t>’</w:t>
      </w:r>
      <w:r>
        <w:rPr>
          <w:rFonts w:ascii="Garamond" w:hAnsi="Garamond"/>
          <w:sz w:val="22"/>
          <w:szCs w:val="22"/>
          <w:rtl w:val="0"/>
          <w:lang w:val="it-IT"/>
        </w:rPr>
        <w:t>interesse - il Segretario Comunale attualmente titolare della sede di segretaria convenzionata di cui l</w:t>
      </w:r>
      <w:r>
        <w:rPr>
          <w:rFonts w:ascii="Garamond" w:hAnsi="Garamond" w:hint="default"/>
          <w:sz w:val="22"/>
          <w:szCs w:val="22"/>
          <w:rtl w:val="0"/>
          <w:lang w:val="it-IT"/>
        </w:rPr>
        <w:t>’</w:t>
      </w:r>
      <w:r>
        <w:rPr>
          <w:rFonts w:ascii="Garamond" w:hAnsi="Garamond"/>
          <w:sz w:val="22"/>
          <w:szCs w:val="22"/>
          <w:rtl w:val="0"/>
          <w:lang w:val="it-IT"/>
        </w:rPr>
        <w:t xml:space="preserve">Ente </w:t>
      </w:r>
      <w:r>
        <w:rPr>
          <w:rFonts w:ascii="Garamond" w:hAnsi="Garamond" w:hint="default"/>
          <w:sz w:val="22"/>
          <w:szCs w:val="22"/>
          <w:rtl w:val="0"/>
          <w:lang w:val="it-IT"/>
        </w:rPr>
        <w:t xml:space="preserve">è </w:t>
      </w:r>
      <w:r>
        <w:rPr>
          <w:rFonts w:ascii="Garamond" w:hAnsi="Garamond"/>
          <w:sz w:val="22"/>
          <w:szCs w:val="22"/>
          <w:rtl w:val="0"/>
          <w:lang w:val="it-IT"/>
        </w:rPr>
        <w:t>parte;</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che al momento dell</w:t>
      </w:r>
      <w:r>
        <w:rPr>
          <w:rFonts w:ascii="Garamond" w:hAnsi="Garamond" w:hint="default"/>
          <w:sz w:val="22"/>
          <w:szCs w:val="22"/>
          <w:rtl w:val="0"/>
          <w:lang w:val="it-IT"/>
        </w:rPr>
        <w:t>’</w:t>
      </w:r>
      <w:r>
        <w:rPr>
          <w:rFonts w:ascii="Garamond" w:hAnsi="Garamond"/>
          <w:sz w:val="22"/>
          <w:szCs w:val="22"/>
          <w:rtl w:val="0"/>
          <w:lang w:val="it-IT"/>
        </w:rPr>
        <w:t xml:space="preserve">iscrizione nella fascia professionale </w:t>
      </w:r>
      <w:r>
        <w:rPr>
          <w:rFonts w:ascii="Garamond" w:hAnsi="Garamond" w:hint="default"/>
          <w:sz w:val="22"/>
          <w:szCs w:val="22"/>
          <w:rtl w:val="0"/>
          <w:lang w:val="it-IT"/>
        </w:rPr>
        <w:t>“</w:t>
      </w:r>
      <w:r>
        <w:rPr>
          <w:rFonts w:ascii="Garamond" w:hAnsi="Garamond"/>
          <w:sz w:val="22"/>
          <w:szCs w:val="22"/>
          <w:rtl w:val="0"/>
          <w:lang w:val="it-IT"/>
        </w:rPr>
        <w:t>B</w:t>
      </w:r>
      <w:r>
        <w:rPr>
          <w:rFonts w:ascii="Garamond" w:hAnsi="Garamond" w:hint="default"/>
          <w:sz w:val="22"/>
          <w:szCs w:val="22"/>
          <w:rtl w:val="0"/>
          <w:lang w:val="it-IT"/>
        </w:rPr>
        <w:t>”</w:t>
      </w:r>
      <w:r>
        <w:rPr>
          <w:rFonts w:ascii="Garamond" w:hAnsi="Garamond"/>
          <w:sz w:val="22"/>
          <w:szCs w:val="22"/>
          <w:rtl w:val="0"/>
          <w:lang w:val="it-IT"/>
        </w:rPr>
        <w:t>, i segretari comunali che ricoprono in deroga la titolarit</w:t>
      </w:r>
      <w:r>
        <w:rPr>
          <w:rFonts w:ascii="Garamond" w:hAnsi="Garamond" w:hint="default"/>
          <w:sz w:val="22"/>
          <w:szCs w:val="22"/>
          <w:rtl w:val="0"/>
          <w:lang w:val="it-IT"/>
        </w:rPr>
        <w:t xml:space="preserve">à </w:t>
      </w:r>
      <w:r>
        <w:rPr>
          <w:rFonts w:ascii="Garamond" w:hAnsi="Garamond"/>
          <w:sz w:val="22"/>
          <w:szCs w:val="22"/>
          <w:rtl w:val="0"/>
          <w:lang w:val="it-IT"/>
        </w:rPr>
        <w:t xml:space="preserve">di una sede di segreteria singola/convenzionata con popolazione compresa tra 3001 e 5000 abitanti (quale </w:t>
      </w:r>
      <w:r>
        <w:rPr>
          <w:rFonts w:ascii="Garamond" w:hAnsi="Garamond" w:hint="default"/>
          <w:sz w:val="22"/>
          <w:szCs w:val="22"/>
          <w:rtl w:val="0"/>
          <w:lang w:val="it-IT"/>
        </w:rPr>
        <w:t xml:space="preserve">è </w:t>
      </w:r>
      <w:r>
        <w:rPr>
          <w:rFonts w:ascii="Garamond" w:hAnsi="Garamond"/>
          <w:sz w:val="22"/>
          <w:szCs w:val="22"/>
          <w:rtl w:val="0"/>
          <w:lang w:val="it-IT"/>
        </w:rPr>
        <w:t>il caso di specie qui oggetto d</w:t>
      </w:r>
      <w:r>
        <w:rPr>
          <w:rFonts w:ascii="Garamond" w:hAnsi="Garamond" w:hint="default"/>
          <w:sz w:val="22"/>
          <w:szCs w:val="22"/>
          <w:rtl w:val="0"/>
          <w:lang w:val="it-IT"/>
        </w:rPr>
        <w:t>’</w:t>
      </w:r>
      <w:r>
        <w:rPr>
          <w:rFonts w:ascii="Garamond" w:hAnsi="Garamond"/>
          <w:sz w:val="22"/>
          <w:szCs w:val="22"/>
          <w:rtl w:val="0"/>
          <w:lang w:val="it-IT"/>
        </w:rPr>
        <w:t>interesse) dovranno essere obbligatoriamente collocati in posizione di temporanea disponibilit</w:t>
      </w:r>
      <w:r>
        <w:rPr>
          <w:rFonts w:ascii="Garamond" w:hAnsi="Garamond" w:hint="default"/>
          <w:sz w:val="22"/>
          <w:szCs w:val="22"/>
          <w:rtl w:val="0"/>
          <w:lang w:val="it-IT"/>
        </w:rPr>
        <w:t>à</w:t>
      </w:r>
      <w:r>
        <w:rPr>
          <w:rFonts w:ascii="Garamond" w:hAnsi="Garamond"/>
          <w:sz w:val="22"/>
          <w:szCs w:val="22"/>
          <w:rtl w:val="0"/>
          <w:lang w:val="it-IT"/>
        </w:rPr>
        <w:t>;</w:t>
      </w:r>
    </w:p>
    <w:p>
      <w:pPr>
        <w:pStyle w:val="ASL-Paragrafo"/>
        <w:jc w:val="both"/>
        <w:rPr>
          <w:rFonts w:ascii="Garamond" w:cs="Garamond" w:hAnsi="Garamond" w:eastAsia="Garamond"/>
          <w:sz w:val="22"/>
          <w:szCs w:val="22"/>
        </w:rPr>
      </w:pPr>
    </w:p>
    <w:p>
      <w:pPr>
        <w:pStyle w:val="Normal.0"/>
        <w:widowControl w:val="1"/>
        <w:tabs>
          <w:tab w:val="left" w:pos="709"/>
          <w:tab w:val="left" w:pos="4536"/>
          <w:tab w:val="left" w:pos="5103"/>
          <w:tab w:val="left" w:pos="6804"/>
          <w:tab w:val="left" w:pos="7080"/>
          <w:tab w:val="left" w:pos="7788"/>
          <w:tab w:val="left" w:pos="8496"/>
          <w:tab w:val="left" w:pos="9132"/>
        </w:tabs>
        <w:suppressAutoHyphens w:val="0"/>
        <w:jc w:val="both"/>
        <w:rPr>
          <w:rFonts w:ascii="Garamond" w:cs="Garamond" w:hAnsi="Garamond" w:eastAsia="Garamond"/>
          <w:kern w:val="0"/>
          <w:sz w:val="22"/>
          <w:szCs w:val="22"/>
        </w:rPr>
      </w:pPr>
      <w:r>
        <w:rPr>
          <w:rFonts w:ascii="Garamond" w:hAnsi="Garamond"/>
          <w:b w:val="1"/>
          <w:bCs w:val="1"/>
          <w:kern w:val="0"/>
          <w:sz w:val="22"/>
          <w:szCs w:val="22"/>
          <w:rtl w:val="0"/>
          <w:lang w:val="it-IT"/>
        </w:rPr>
        <w:t>CONSIDERATO CHE</w:t>
      </w:r>
      <w:r>
        <w:rPr>
          <w:rFonts w:ascii="Garamond" w:hAnsi="Garamond"/>
          <w:kern w:val="0"/>
          <w:sz w:val="22"/>
          <w:szCs w:val="22"/>
          <w:rtl w:val="0"/>
          <w:lang w:val="it-IT"/>
        </w:rPr>
        <w:t>, in esito ai confronti intercorsi tra i Sindaci dei Comuni interessati ed il Segretario attualmente titolare dell</w:t>
      </w:r>
      <w:r>
        <w:rPr>
          <w:rFonts w:ascii="Garamond" w:hAnsi="Garamond" w:hint="default"/>
          <w:kern w:val="0"/>
          <w:sz w:val="22"/>
          <w:szCs w:val="22"/>
          <w:rtl w:val="0"/>
          <w:lang w:val="it-IT"/>
        </w:rPr>
        <w:t>’</w:t>
      </w:r>
      <w:r>
        <w:rPr>
          <w:rFonts w:ascii="Garamond" w:hAnsi="Garamond"/>
          <w:kern w:val="0"/>
          <w:sz w:val="22"/>
          <w:szCs w:val="22"/>
          <w:rtl w:val="0"/>
          <w:lang w:val="it-IT"/>
        </w:rPr>
        <w:t xml:space="preserve">attuale sede di segreteria convenzionata, </w:t>
      </w:r>
      <w:r>
        <w:rPr>
          <w:rFonts w:ascii="Garamond" w:hAnsi="Garamond" w:hint="default"/>
          <w:kern w:val="0"/>
          <w:sz w:val="22"/>
          <w:szCs w:val="22"/>
          <w:rtl w:val="0"/>
          <w:lang w:val="it-IT"/>
        </w:rPr>
        <w:t xml:space="preserve">è </w:t>
      </w:r>
      <w:r>
        <w:rPr>
          <w:rFonts w:ascii="Garamond" w:hAnsi="Garamond"/>
          <w:kern w:val="0"/>
          <w:sz w:val="22"/>
          <w:szCs w:val="22"/>
          <w:rtl w:val="0"/>
          <w:lang w:val="it-IT"/>
        </w:rPr>
        <w:t>emersa la volont</w:t>
      </w:r>
      <w:r>
        <w:rPr>
          <w:rFonts w:ascii="Garamond" w:hAnsi="Garamond" w:hint="default"/>
          <w:kern w:val="0"/>
          <w:sz w:val="22"/>
          <w:szCs w:val="22"/>
          <w:rtl w:val="0"/>
          <w:lang w:val="it-IT"/>
        </w:rPr>
        <w:t xml:space="preserve">à </w:t>
      </w:r>
      <w:r>
        <w:rPr>
          <w:rFonts w:ascii="Garamond" w:hAnsi="Garamond"/>
          <w:kern w:val="0"/>
          <w:sz w:val="22"/>
          <w:szCs w:val="22"/>
          <w:rtl w:val="0"/>
          <w:lang w:val="it-IT"/>
        </w:rPr>
        <w:t>di stipulare una nuova convenzione che preveda l</w:t>
      </w:r>
      <w:r>
        <w:rPr>
          <w:rFonts w:ascii="Garamond" w:hAnsi="Garamond" w:hint="default"/>
          <w:kern w:val="0"/>
          <w:sz w:val="22"/>
          <w:szCs w:val="22"/>
          <w:rtl w:val="0"/>
          <w:lang w:val="it-IT"/>
        </w:rPr>
        <w:t>’</w:t>
      </w:r>
      <w:r>
        <w:rPr>
          <w:rFonts w:ascii="Garamond" w:hAnsi="Garamond"/>
          <w:kern w:val="0"/>
          <w:sz w:val="22"/>
          <w:szCs w:val="22"/>
          <w:rtl w:val="0"/>
          <w:lang w:val="it-IT"/>
        </w:rPr>
        <w:t>inserimento del Comune di Ceto (BS), sempre confermando il ruolo di Ente capofila in capo al Comune di Malonno, per la cui formalizzazione si rende propedeutico provvedere al formale scioglimento consensuale della convenzione in essere;</w:t>
      </w:r>
    </w:p>
    <w:p>
      <w:pPr>
        <w:pStyle w:val="Normal.0"/>
        <w:widowControl w:val="1"/>
        <w:tabs>
          <w:tab w:val="left" w:pos="709"/>
          <w:tab w:val="left" w:pos="4536"/>
          <w:tab w:val="left" w:pos="5103"/>
          <w:tab w:val="left" w:pos="6804"/>
          <w:tab w:val="left" w:pos="7080"/>
          <w:tab w:val="left" w:pos="7788"/>
          <w:tab w:val="left" w:pos="8496"/>
          <w:tab w:val="left" w:pos="9132"/>
        </w:tabs>
        <w:suppressAutoHyphens w:val="0"/>
        <w:jc w:val="both"/>
        <w:rPr>
          <w:rFonts w:ascii="Garamond" w:cs="Garamond" w:hAnsi="Garamond" w:eastAsia="Garamond"/>
          <w:outline w:val="0"/>
          <w:color w:val="ff2600"/>
          <w:kern w:val="0"/>
          <w:sz w:val="22"/>
          <w:szCs w:val="22"/>
          <w:u w:color="ff2600"/>
          <w14:textFill>
            <w14:solidFill>
              <w14:srgbClr w14:val="FF2600"/>
            </w14:solidFill>
          </w14:textFill>
        </w:rPr>
      </w:pPr>
    </w:p>
    <w:p>
      <w:pPr>
        <w:pStyle w:val="Normal.0"/>
        <w:widowControl w:val="1"/>
        <w:tabs>
          <w:tab w:val="left" w:pos="709"/>
          <w:tab w:val="left" w:pos="4536"/>
          <w:tab w:val="left" w:pos="5103"/>
          <w:tab w:val="left" w:pos="6804"/>
          <w:tab w:val="left" w:pos="7080"/>
          <w:tab w:val="left" w:pos="7788"/>
          <w:tab w:val="left" w:pos="8496"/>
          <w:tab w:val="left" w:pos="9132"/>
        </w:tabs>
        <w:suppressAutoHyphens w:val="0"/>
        <w:jc w:val="both"/>
        <w:rPr>
          <w:rFonts w:ascii="Garamond" w:cs="Garamond" w:hAnsi="Garamond" w:eastAsia="Garamond"/>
          <w:kern w:val="0"/>
          <w:sz w:val="22"/>
          <w:szCs w:val="22"/>
        </w:rPr>
      </w:pPr>
      <w:r>
        <w:rPr>
          <w:rFonts w:ascii="Garamond" w:hAnsi="Garamond"/>
          <w:b w:val="1"/>
          <w:bCs w:val="1"/>
          <w:kern w:val="0"/>
          <w:sz w:val="22"/>
          <w:szCs w:val="22"/>
          <w:rtl w:val="0"/>
          <w:lang w:val="it-IT"/>
        </w:rPr>
        <w:t>RICHIAMATO</w:t>
      </w:r>
      <w:r>
        <w:rPr>
          <w:rFonts w:ascii="Garamond" w:hAnsi="Garamond"/>
          <w:kern w:val="0"/>
          <w:sz w:val="22"/>
          <w:szCs w:val="22"/>
          <w:rtl w:val="0"/>
          <w:lang w:val="it-IT"/>
        </w:rPr>
        <w:t xml:space="preserve"> l</w:t>
      </w:r>
      <w:r>
        <w:rPr>
          <w:rFonts w:ascii="Garamond" w:hAnsi="Garamond" w:hint="default"/>
          <w:kern w:val="0"/>
          <w:sz w:val="22"/>
          <w:szCs w:val="22"/>
          <w:rtl w:val="0"/>
          <w:lang w:val="it-IT"/>
        </w:rPr>
        <w:t>’</w:t>
      </w:r>
      <w:r>
        <w:rPr>
          <w:rFonts w:ascii="Garamond" w:hAnsi="Garamond"/>
          <w:kern w:val="0"/>
          <w:sz w:val="22"/>
          <w:szCs w:val="22"/>
          <w:rtl w:val="0"/>
          <w:lang w:val="it-IT"/>
        </w:rPr>
        <w:t xml:space="preserve">articolo 8 </w:t>
      </w:r>
      <w:r>
        <w:rPr>
          <w:rFonts w:ascii="Garamond" w:hAnsi="Garamond" w:hint="default"/>
          <w:kern w:val="0"/>
          <w:sz w:val="22"/>
          <w:szCs w:val="22"/>
          <w:rtl w:val="0"/>
          <w:lang w:val="it-IT"/>
        </w:rPr>
        <w:t>“</w:t>
      </w:r>
      <w:r>
        <w:rPr>
          <w:rFonts w:ascii="Garamond" w:hAnsi="Garamond"/>
          <w:i w:val="1"/>
          <w:iCs w:val="1"/>
          <w:kern w:val="0"/>
          <w:sz w:val="22"/>
          <w:szCs w:val="22"/>
          <w:rtl w:val="0"/>
          <w:lang w:val="it-IT"/>
        </w:rPr>
        <w:t>Durata, effetti e cause di scioglimento</w:t>
      </w:r>
      <w:r>
        <w:rPr>
          <w:rFonts w:ascii="Garamond" w:hAnsi="Garamond" w:hint="default"/>
          <w:kern w:val="0"/>
          <w:sz w:val="22"/>
          <w:szCs w:val="22"/>
          <w:rtl w:val="0"/>
          <w:lang w:val="it-IT"/>
        </w:rPr>
        <w:t xml:space="preserve">” </w:t>
      </w:r>
      <w:r>
        <w:rPr>
          <w:rFonts w:ascii="Garamond" w:hAnsi="Garamond"/>
          <w:kern w:val="0"/>
          <w:sz w:val="22"/>
          <w:szCs w:val="22"/>
          <w:rtl w:val="0"/>
          <w:lang w:val="it-IT"/>
        </w:rPr>
        <w:t>della suddetta convenzione per l</w:t>
      </w:r>
      <w:r>
        <w:rPr>
          <w:rFonts w:ascii="Garamond" w:hAnsi="Garamond" w:hint="default"/>
          <w:kern w:val="0"/>
          <w:sz w:val="22"/>
          <w:szCs w:val="22"/>
          <w:rtl w:val="0"/>
          <w:lang w:val="it-IT"/>
        </w:rPr>
        <w:t>’</w:t>
      </w:r>
      <w:r>
        <w:rPr>
          <w:rFonts w:ascii="Garamond" w:hAnsi="Garamond"/>
          <w:kern w:val="0"/>
          <w:sz w:val="22"/>
          <w:szCs w:val="22"/>
          <w:rtl w:val="0"/>
          <w:lang w:val="it-IT"/>
        </w:rPr>
        <w:t>esercizio in forma associata delle funzioni di Segretario Comunale, il quale prevede che la medesima pu</w:t>
      </w:r>
      <w:r>
        <w:rPr>
          <w:rFonts w:ascii="Garamond" w:hAnsi="Garamond" w:hint="default"/>
          <w:kern w:val="0"/>
          <w:sz w:val="22"/>
          <w:szCs w:val="22"/>
          <w:rtl w:val="0"/>
          <w:lang w:val="it-IT"/>
        </w:rPr>
        <w:t xml:space="preserve">ò </w:t>
      </w:r>
      <w:r>
        <w:rPr>
          <w:rFonts w:ascii="Garamond" w:hAnsi="Garamond"/>
          <w:kern w:val="0"/>
          <w:sz w:val="22"/>
          <w:szCs w:val="22"/>
          <w:rtl w:val="0"/>
          <w:lang w:val="it-IT"/>
        </w:rPr>
        <w:t>essere sciolta per una delle seguenti cause:</w:t>
      </w:r>
    </w:p>
    <w:p>
      <w:pPr>
        <w:pStyle w:val="ASL-Paragrafo"/>
        <w:widowControl w:val="1"/>
        <w:numPr>
          <w:ilvl w:val="0"/>
          <w:numId w:val="5"/>
        </w:numPr>
        <w:suppressAutoHyphens w:val="0"/>
        <w:bidi w:val="0"/>
        <w:ind w:right="0"/>
        <w:jc w:val="both"/>
        <w:rPr>
          <w:rFonts w:ascii="Garamond" w:hAnsi="Garamond"/>
          <w:sz w:val="22"/>
          <w:szCs w:val="22"/>
          <w:rtl w:val="0"/>
          <w:lang w:val="it-IT"/>
        </w:rPr>
      </w:pPr>
      <w:r>
        <w:rPr>
          <w:rFonts w:ascii="Garamond" w:hAnsi="Garamond"/>
          <w:kern w:val="0"/>
          <w:sz w:val="22"/>
          <w:szCs w:val="22"/>
          <w:rtl w:val="0"/>
          <w:lang w:val="it-IT"/>
        </w:rPr>
        <w:t>s</w:t>
      </w:r>
      <w:r>
        <w:rPr>
          <w:rFonts w:ascii="Garamond" w:hAnsi="Garamond"/>
          <w:sz w:val="22"/>
          <w:szCs w:val="22"/>
          <w:rtl w:val="0"/>
          <w:lang w:val="it-IT"/>
        </w:rPr>
        <w:t>cioglimento consensuale mediante atti deliberativi consiliari adottati da tutte le Amministrazioni comunali aventi medesima data di scioglimento;</w:t>
      </w:r>
    </w:p>
    <w:p>
      <w:pPr>
        <w:pStyle w:val="ASL-Paragrafo"/>
        <w:widowControl w:val="1"/>
        <w:numPr>
          <w:ilvl w:val="0"/>
          <w:numId w:val="5"/>
        </w:numPr>
        <w:suppressAutoHyphens w:val="0"/>
        <w:bidi w:val="0"/>
        <w:ind w:right="0"/>
        <w:jc w:val="both"/>
        <w:rPr>
          <w:rFonts w:ascii="Garamond" w:hAnsi="Garamond"/>
          <w:sz w:val="22"/>
          <w:szCs w:val="22"/>
          <w:rtl w:val="0"/>
          <w:lang w:val="it-IT"/>
        </w:rPr>
      </w:pPr>
      <w:r>
        <w:rPr>
          <w:rFonts w:ascii="Garamond" w:hAnsi="Garamond"/>
          <w:sz w:val="22"/>
          <w:szCs w:val="22"/>
          <w:rtl w:val="0"/>
          <w:lang w:val="it-IT"/>
        </w:rPr>
        <w:t>recesso unilaterale del Sindaco neoeletto di uno dei Comuni interessati alla convenzione, manifestante la volont</w:t>
      </w:r>
      <w:r>
        <w:rPr>
          <w:rFonts w:ascii="Garamond" w:hAnsi="Garamond" w:hint="default"/>
          <w:sz w:val="22"/>
          <w:szCs w:val="22"/>
          <w:rtl w:val="0"/>
          <w:lang w:val="it-IT"/>
        </w:rPr>
        <w:t xml:space="preserve">à </w:t>
      </w:r>
      <w:r>
        <w:rPr>
          <w:rFonts w:ascii="Garamond" w:hAnsi="Garamond"/>
          <w:sz w:val="22"/>
          <w:szCs w:val="22"/>
          <w:rtl w:val="0"/>
          <w:lang w:val="it-IT"/>
        </w:rPr>
        <w:t>di esercizio del potere di nomina in applicazione di quanto disposto dal D.P.R n.465/1997 (gli effetti del recesso decorreranno non prima del sessantesimo e non oltre il centoventesimo giorno successivo all</w:t>
      </w:r>
      <w:r>
        <w:rPr>
          <w:rFonts w:ascii="Garamond" w:hAnsi="Garamond" w:hint="default"/>
          <w:sz w:val="22"/>
          <w:szCs w:val="22"/>
          <w:rtl w:val="0"/>
          <w:lang w:val="it-IT"/>
        </w:rPr>
        <w:t>’</w:t>
      </w:r>
      <w:r>
        <w:rPr>
          <w:rFonts w:ascii="Garamond" w:hAnsi="Garamond"/>
          <w:sz w:val="22"/>
          <w:szCs w:val="22"/>
          <w:rtl w:val="0"/>
          <w:lang w:val="it-IT"/>
        </w:rPr>
        <w:t>insediamento del Sindaco);</w:t>
      </w:r>
    </w:p>
    <w:p>
      <w:pPr>
        <w:pStyle w:val="ASL-Paragrafo"/>
        <w:widowControl w:val="1"/>
        <w:numPr>
          <w:ilvl w:val="0"/>
          <w:numId w:val="5"/>
        </w:numPr>
        <w:suppressAutoHyphens w:val="0"/>
        <w:bidi w:val="0"/>
        <w:ind w:right="0"/>
        <w:jc w:val="both"/>
        <w:rPr>
          <w:rFonts w:ascii="Garamond" w:hAnsi="Garamond"/>
          <w:sz w:val="22"/>
          <w:szCs w:val="22"/>
          <w:rtl w:val="0"/>
          <w:lang w:val="it-IT"/>
        </w:rPr>
      </w:pPr>
      <w:r>
        <w:rPr>
          <w:rFonts w:ascii="Garamond" w:hAnsi="Garamond"/>
          <w:sz w:val="22"/>
          <w:szCs w:val="22"/>
          <w:rtl w:val="0"/>
          <w:lang w:val="it-IT"/>
        </w:rPr>
        <w:t>recesso unilaterale di una delle Amministrazioni comunali contraenti in qualsiasi momento, da adottarsi con atto deliberativo consiliare con un preavviso di almeno 60 giorni dalla ricezione dell'ultima notifica alle Amministrazioni interessate; in tale eventualit</w:t>
      </w:r>
      <w:r>
        <w:rPr>
          <w:rFonts w:ascii="Garamond" w:hAnsi="Garamond" w:hint="default"/>
          <w:sz w:val="22"/>
          <w:szCs w:val="22"/>
          <w:rtl w:val="0"/>
          <w:lang w:val="it-IT"/>
        </w:rPr>
        <w:t>à</w:t>
      </w:r>
      <w:r>
        <w:rPr>
          <w:rFonts w:ascii="Garamond" w:hAnsi="Garamond"/>
          <w:sz w:val="22"/>
          <w:szCs w:val="22"/>
          <w:rtl w:val="0"/>
          <w:lang w:val="it-IT"/>
        </w:rPr>
        <w:t>, l</w:t>
      </w:r>
      <w:r>
        <w:rPr>
          <w:rFonts w:ascii="Garamond" w:hAnsi="Garamond" w:hint="default"/>
          <w:sz w:val="22"/>
          <w:szCs w:val="22"/>
          <w:rtl w:val="0"/>
          <w:lang w:val="it-IT"/>
        </w:rPr>
        <w:t>’</w:t>
      </w:r>
      <w:r>
        <w:rPr>
          <w:rFonts w:ascii="Garamond" w:hAnsi="Garamond"/>
          <w:sz w:val="22"/>
          <w:szCs w:val="22"/>
          <w:rtl w:val="0"/>
          <w:lang w:val="it-IT"/>
        </w:rPr>
        <w:t>incarico del Segretario Comunale titolare proseguir</w:t>
      </w:r>
      <w:r>
        <w:rPr>
          <w:rFonts w:ascii="Garamond" w:hAnsi="Garamond" w:hint="default"/>
          <w:sz w:val="22"/>
          <w:szCs w:val="22"/>
          <w:rtl w:val="0"/>
          <w:lang w:val="it-IT"/>
        </w:rPr>
        <w:t xml:space="preserve">à </w:t>
      </w:r>
      <w:r>
        <w:rPr>
          <w:rFonts w:ascii="Garamond" w:hAnsi="Garamond"/>
          <w:sz w:val="22"/>
          <w:szCs w:val="22"/>
          <w:rtl w:val="0"/>
          <w:lang w:val="it-IT"/>
        </w:rPr>
        <w:t>secondo le modalit</w:t>
      </w:r>
      <w:r>
        <w:rPr>
          <w:rFonts w:ascii="Garamond" w:hAnsi="Garamond" w:hint="default"/>
          <w:sz w:val="22"/>
          <w:szCs w:val="22"/>
          <w:rtl w:val="0"/>
          <w:lang w:val="it-IT"/>
        </w:rPr>
        <w:t xml:space="preserve">à </w:t>
      </w:r>
      <w:r>
        <w:rPr>
          <w:rFonts w:ascii="Garamond" w:hAnsi="Garamond"/>
          <w:sz w:val="22"/>
          <w:szCs w:val="22"/>
          <w:rtl w:val="0"/>
          <w:lang w:val="it-IT"/>
        </w:rPr>
        <w:t>di cui all</w:t>
      </w:r>
      <w:r>
        <w:rPr>
          <w:rFonts w:ascii="Garamond" w:hAnsi="Garamond" w:hint="default"/>
          <w:sz w:val="22"/>
          <w:szCs w:val="22"/>
          <w:rtl w:val="0"/>
          <w:lang w:val="it-IT"/>
        </w:rPr>
        <w:t>’</w:t>
      </w:r>
      <w:r>
        <w:rPr>
          <w:rFonts w:ascii="Garamond" w:hAnsi="Garamond"/>
          <w:sz w:val="22"/>
          <w:szCs w:val="22"/>
          <w:rtl w:val="0"/>
          <w:lang w:val="it-IT"/>
        </w:rPr>
        <w:t>art.3 co.4 del presente accordo;</w:t>
      </w:r>
    </w:p>
    <w:p>
      <w:pPr>
        <w:pStyle w:val="ASL-Paragrafo"/>
        <w:widowControl w:val="1"/>
        <w:numPr>
          <w:ilvl w:val="0"/>
          <w:numId w:val="5"/>
        </w:numPr>
        <w:suppressAutoHyphens w:val="0"/>
        <w:bidi w:val="0"/>
        <w:ind w:right="0"/>
        <w:jc w:val="both"/>
        <w:rPr>
          <w:rFonts w:ascii="Garamond" w:hAnsi="Garamond"/>
          <w:sz w:val="22"/>
          <w:szCs w:val="22"/>
          <w:rtl w:val="0"/>
          <w:lang w:val="it-IT"/>
        </w:rPr>
      </w:pPr>
      <w:r>
        <w:rPr>
          <w:rFonts w:ascii="Garamond" w:hAnsi="Garamond"/>
          <w:sz w:val="22"/>
          <w:szCs w:val="22"/>
          <w:rtl w:val="0"/>
          <w:lang w:val="it-IT"/>
        </w:rPr>
        <w:t>sopravvenuta vacanza della sede di Segreteria convenzionata, per revoca o trasferimento del Segretario titolare presso altra sede (il Segretario deve darne comunicazione al Comune capofila con preavviso di 30 giorni); i Comuni convenzionati possono consensualmente deliberare la risoluzione anticipata o proseguire nella gestione convenzionata del servizio;</w:t>
      </w:r>
    </w:p>
    <w:p>
      <w:pPr>
        <w:pStyle w:val="ASL-Paragrafo"/>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jc w:val="both"/>
        <w:rPr>
          <w:rFonts w:ascii="Garamond" w:cs="Garamond" w:hAnsi="Garamond" w:eastAsia="Garamond"/>
          <w:b w:val="1"/>
          <w:bCs w:val="1"/>
          <w:outline w:val="0"/>
          <w:color w:val="ff2600"/>
          <w:kern w:val="0"/>
          <w:sz w:val="22"/>
          <w:szCs w:val="22"/>
          <w:u w:color="ff2600"/>
          <w14:textFill>
            <w14:solidFill>
              <w14:srgbClr w14:val="FF2600"/>
            </w14:solidFill>
          </w14:textFill>
        </w:rPr>
      </w:pPr>
    </w:p>
    <w:p>
      <w:pPr>
        <w:pStyle w:val="ASL-Paragrafo"/>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jc w:val="both"/>
        <w:rPr>
          <w:rFonts w:ascii="Garamond" w:cs="Garamond" w:hAnsi="Garamond" w:eastAsia="Garamond"/>
          <w:kern w:val="0"/>
          <w:sz w:val="22"/>
          <w:szCs w:val="22"/>
        </w:rPr>
      </w:pPr>
      <w:r>
        <w:rPr>
          <w:rFonts w:ascii="Garamond" w:hAnsi="Garamond"/>
          <w:b w:val="1"/>
          <w:bCs w:val="1"/>
          <w:kern w:val="0"/>
          <w:sz w:val="22"/>
          <w:szCs w:val="22"/>
          <w:rtl w:val="0"/>
          <w:lang w:val="it-IT"/>
        </w:rPr>
        <w:t>ATTESO CHE</w:t>
      </w:r>
      <w:r>
        <w:rPr>
          <w:rFonts w:ascii="Garamond" w:hAnsi="Garamond"/>
          <w:kern w:val="0"/>
          <w:sz w:val="22"/>
          <w:szCs w:val="22"/>
          <w:rtl w:val="0"/>
          <w:lang w:val="it-IT"/>
        </w:rPr>
        <w:t xml:space="preserve"> dei provvedimenti di costituzione e scioglimento viene data immediata e tempestiva comunicazione a Prefettura - Ufficio Territoriale del Governo di Milano, Albo dei Segretari Comunali e Provinciali Sezione Regionale Lombardia, per l</w:t>
      </w:r>
      <w:r>
        <w:rPr>
          <w:rFonts w:ascii="Garamond" w:hAnsi="Garamond" w:hint="default"/>
          <w:kern w:val="0"/>
          <w:sz w:val="22"/>
          <w:szCs w:val="22"/>
          <w:rtl w:val="0"/>
          <w:lang w:val="it-IT"/>
        </w:rPr>
        <w:t>’</w:t>
      </w:r>
      <w:r>
        <w:rPr>
          <w:rFonts w:ascii="Garamond" w:hAnsi="Garamond"/>
          <w:kern w:val="0"/>
          <w:sz w:val="22"/>
          <w:szCs w:val="22"/>
          <w:rtl w:val="0"/>
          <w:lang w:val="it-IT"/>
        </w:rPr>
        <w:t>adozione dei provvedimenti concernenti la posizione giuridica ed il trattamento economico del Segretario comunale;</w:t>
      </w:r>
    </w:p>
    <w:p>
      <w:pPr>
        <w:pStyle w:val="ASL-Paragrafo"/>
        <w:widowControl w:val="1"/>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jc w:val="both"/>
        <w:rPr>
          <w:rFonts w:ascii="Garamond" w:cs="Garamond" w:hAnsi="Garamond" w:eastAsia="Garamond"/>
          <w:kern w:val="0"/>
          <w:sz w:val="22"/>
          <w:szCs w:val="22"/>
        </w:rPr>
      </w:pPr>
    </w:p>
    <w:p>
      <w:pPr>
        <w:pStyle w:val="Normal.0"/>
        <w:widowControl w:val="1"/>
        <w:tabs>
          <w:tab w:val="left" w:pos="709"/>
          <w:tab w:val="left" w:pos="4536"/>
          <w:tab w:val="left" w:pos="5103"/>
          <w:tab w:val="left" w:pos="6804"/>
          <w:tab w:val="left" w:pos="7080"/>
          <w:tab w:val="left" w:pos="7788"/>
          <w:tab w:val="left" w:pos="8496"/>
          <w:tab w:val="left" w:pos="9132"/>
        </w:tabs>
        <w:suppressAutoHyphens w:val="0"/>
        <w:jc w:val="both"/>
        <w:rPr>
          <w:rFonts w:ascii="Garamond" w:cs="Garamond" w:hAnsi="Garamond" w:eastAsia="Garamond"/>
          <w:outline w:val="0"/>
          <w:color w:val="000000"/>
          <w:kern w:val="0"/>
          <w:sz w:val="22"/>
          <w:szCs w:val="22"/>
          <w:u w:color="000000"/>
          <w14:textFill>
            <w14:solidFill>
              <w14:srgbClr w14:val="000000"/>
            </w14:solidFill>
          </w14:textFill>
        </w:rPr>
      </w:pPr>
      <w:r>
        <w:rPr>
          <w:rFonts w:ascii="Garamond" w:hAnsi="Garamond"/>
          <w:b w:val="1"/>
          <w:bCs w:val="1"/>
          <w:outline w:val="0"/>
          <w:color w:val="000000"/>
          <w:kern w:val="0"/>
          <w:sz w:val="22"/>
          <w:szCs w:val="22"/>
          <w:u w:color="000000"/>
          <w:rtl w:val="0"/>
          <w:lang w:val="it-IT"/>
          <w14:textFill>
            <w14:solidFill>
              <w14:srgbClr w14:val="000000"/>
            </w14:solidFill>
          </w14:textFill>
        </w:rPr>
        <w:t>RITENUTO</w:t>
      </w:r>
      <w:r>
        <w:rPr>
          <w:rFonts w:ascii="Garamond" w:hAnsi="Garamond"/>
          <w:outline w:val="0"/>
          <w:color w:val="000000"/>
          <w:kern w:val="0"/>
          <w:sz w:val="22"/>
          <w:szCs w:val="22"/>
          <w:u w:color="000000"/>
          <w:rtl w:val="0"/>
          <w:lang w:val="it-IT"/>
          <w14:textFill>
            <w14:solidFill>
              <w14:srgbClr w14:val="000000"/>
            </w14:solidFill>
          </w14:textFill>
        </w:rPr>
        <w:t>, per tutto quanto espresso in premessa narrativa, di procedere allo scioglimento consensuale del rapporto convenzionale tra i Comuni di Malonno e Berzo Demo per l</w:t>
      </w:r>
      <w:r>
        <w:rPr>
          <w:rFonts w:ascii="Garamond" w:hAnsi="Garamond" w:hint="default"/>
          <w:outline w:val="0"/>
          <w:color w:val="000000"/>
          <w:kern w:val="0"/>
          <w:sz w:val="22"/>
          <w:szCs w:val="22"/>
          <w:u w:color="000000"/>
          <w:rtl w:val="0"/>
          <w:lang w:val="it-IT"/>
          <w14:textFill>
            <w14:solidFill>
              <w14:srgbClr w14:val="000000"/>
            </w14:solidFill>
          </w14:textFill>
        </w:rPr>
        <w:t>’</w:t>
      </w:r>
      <w:r>
        <w:rPr>
          <w:rFonts w:ascii="Garamond" w:hAnsi="Garamond"/>
          <w:outline w:val="0"/>
          <w:color w:val="000000"/>
          <w:kern w:val="0"/>
          <w:sz w:val="22"/>
          <w:szCs w:val="22"/>
          <w:u w:color="000000"/>
          <w:rtl w:val="0"/>
          <w:lang w:val="it-IT"/>
          <w14:textFill>
            <w14:solidFill>
              <w14:srgbClr w14:val="000000"/>
            </w14:solidFill>
          </w14:textFill>
        </w:rPr>
        <w:t>esercizio in forma associata del servizio di Segreteria Comunale, ai sensi di quanto disposto dall</w:t>
      </w:r>
      <w:r>
        <w:rPr>
          <w:rFonts w:ascii="Garamond" w:hAnsi="Garamond" w:hint="default"/>
          <w:outline w:val="0"/>
          <w:color w:val="000000"/>
          <w:kern w:val="0"/>
          <w:sz w:val="22"/>
          <w:szCs w:val="22"/>
          <w:u w:color="000000"/>
          <w:rtl w:val="0"/>
          <w:lang w:val="it-IT"/>
          <w14:textFill>
            <w14:solidFill>
              <w14:srgbClr w14:val="000000"/>
            </w14:solidFill>
          </w14:textFill>
        </w:rPr>
        <w:t>’</w:t>
      </w:r>
      <w:r>
        <w:rPr>
          <w:rFonts w:ascii="Garamond" w:hAnsi="Garamond"/>
          <w:outline w:val="0"/>
          <w:color w:val="000000"/>
          <w:kern w:val="0"/>
          <w:sz w:val="22"/>
          <w:szCs w:val="22"/>
          <w:u w:color="000000"/>
          <w:rtl w:val="0"/>
          <w:lang w:val="it-IT"/>
          <w14:textFill>
            <w14:solidFill>
              <w14:srgbClr w14:val="000000"/>
            </w14:solidFill>
          </w14:textFill>
        </w:rPr>
        <w:t>art.</w:t>
      </w:r>
      <w:r>
        <w:rPr>
          <w:rFonts w:ascii="Garamond" w:hAnsi="Garamond"/>
          <w:kern w:val="0"/>
          <w:sz w:val="22"/>
          <w:szCs w:val="22"/>
          <w:rtl w:val="0"/>
          <w:lang w:val="it-IT"/>
        </w:rPr>
        <w:t xml:space="preserve">10 del D.P.R. 04.12.1997 n.465, </w:t>
      </w:r>
      <w:r>
        <w:rPr>
          <w:rFonts w:ascii="Garamond" w:hAnsi="Garamond"/>
          <w:kern w:val="0"/>
          <w:sz w:val="22"/>
          <w:szCs w:val="22"/>
          <w:u w:color="ff2600"/>
          <w:rtl w:val="0"/>
          <w:lang w:val="it-IT"/>
        </w:rPr>
        <w:t xml:space="preserve">a far data dal </w:t>
      </w:r>
      <w:r>
        <w:rPr>
          <w:rFonts w:ascii="Garamond" w:hAnsi="Garamond"/>
          <w:kern w:val="0"/>
          <w:sz w:val="22"/>
          <w:szCs w:val="22"/>
          <w:u w:color="ff2600"/>
          <w:rtl w:val="0"/>
          <w:lang w:val="it-IT"/>
        </w:rPr>
        <w:t>__</w:t>
      </w:r>
      <w:r>
        <w:rPr>
          <w:rFonts w:ascii="Garamond" w:hAnsi="Garamond"/>
          <w:kern w:val="0"/>
          <w:sz w:val="22"/>
          <w:szCs w:val="22"/>
          <w:u w:color="ff2600"/>
          <w:rtl w:val="0"/>
          <w:lang w:val="it-IT"/>
        </w:rPr>
        <w:t>.</w:t>
      </w:r>
      <w:r>
        <w:rPr>
          <w:rFonts w:ascii="Garamond" w:hAnsi="Garamond"/>
          <w:kern w:val="0"/>
          <w:sz w:val="22"/>
          <w:szCs w:val="22"/>
          <w:u w:color="ff2600"/>
          <w:rtl w:val="0"/>
          <w:lang w:val="it-IT"/>
        </w:rPr>
        <w:t>__</w:t>
      </w:r>
      <w:r>
        <w:rPr>
          <w:rFonts w:ascii="Garamond" w:hAnsi="Garamond"/>
          <w:kern w:val="0"/>
          <w:sz w:val="22"/>
          <w:szCs w:val="22"/>
          <w:u w:color="ff2600"/>
          <w:rtl w:val="0"/>
          <w:lang w:val="it-IT"/>
        </w:rPr>
        <w:t>.202</w:t>
      </w:r>
      <w:r>
        <w:rPr>
          <w:rFonts w:ascii="Garamond" w:hAnsi="Garamond"/>
          <w:kern w:val="0"/>
          <w:sz w:val="22"/>
          <w:szCs w:val="22"/>
          <w:u w:color="ff2600"/>
          <w:rtl w:val="0"/>
          <w:lang w:val="it-IT"/>
        </w:rPr>
        <w:t>6</w:t>
      </w:r>
      <w:r>
        <w:rPr>
          <w:rFonts w:ascii="Garamond" w:hAnsi="Garamond"/>
          <w:kern w:val="0"/>
          <w:sz w:val="22"/>
          <w:szCs w:val="22"/>
          <w:u w:color="ff2600"/>
          <w:rtl w:val="0"/>
          <w:lang w:val="it-IT"/>
        </w:rPr>
        <w:t xml:space="preserve"> (ultimo giorno di validit</w:t>
      </w:r>
      <w:r>
        <w:rPr>
          <w:rFonts w:ascii="Garamond" w:hAnsi="Garamond" w:hint="default"/>
          <w:kern w:val="0"/>
          <w:sz w:val="22"/>
          <w:szCs w:val="22"/>
          <w:u w:color="ff2600"/>
          <w:rtl w:val="0"/>
          <w:lang w:val="it-IT"/>
        </w:rPr>
        <w:t xml:space="preserve">à </w:t>
      </w:r>
      <w:r>
        <w:rPr>
          <w:rFonts w:ascii="Garamond" w:hAnsi="Garamond"/>
          <w:kern w:val="0"/>
          <w:sz w:val="22"/>
          <w:szCs w:val="22"/>
          <w:u w:color="ff2600"/>
          <w:rtl w:val="0"/>
          <w:lang w:val="it-IT"/>
        </w:rPr>
        <w:t xml:space="preserve">della stessa il </w:t>
      </w:r>
      <w:r>
        <w:rPr>
          <w:rFonts w:ascii="Garamond" w:hAnsi="Garamond"/>
          <w:kern w:val="0"/>
          <w:sz w:val="22"/>
          <w:szCs w:val="22"/>
          <w:u w:color="ff2600"/>
          <w:rtl w:val="0"/>
          <w:lang w:val="it-IT"/>
        </w:rPr>
        <w:t>__.__.2026</w:t>
      </w:r>
      <w:r>
        <w:rPr>
          <w:rFonts w:ascii="Garamond" w:hAnsi="Garamond"/>
          <w:kern w:val="0"/>
          <w:sz w:val="22"/>
          <w:szCs w:val="22"/>
          <w:u w:color="ff2600"/>
          <w:rtl w:val="0"/>
          <w:lang w:val="it-IT"/>
        </w:rPr>
        <w:t>);</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VISTI:</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il D.Lgs. 18.08.2000 n.267;</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lo Statuto Comunale;</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il D.P.R. n.465/1997;</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il vigente Regolamento comunale sull</w:t>
      </w:r>
      <w:r>
        <w:rPr>
          <w:rFonts w:ascii="Garamond" w:hAnsi="Garamond" w:hint="default"/>
          <w:sz w:val="22"/>
          <w:szCs w:val="22"/>
          <w:rtl w:val="0"/>
          <w:lang w:val="it-IT"/>
        </w:rPr>
        <w:t>’</w:t>
      </w:r>
      <w:r>
        <w:rPr>
          <w:rFonts w:ascii="Garamond" w:hAnsi="Garamond"/>
          <w:sz w:val="22"/>
          <w:szCs w:val="22"/>
          <w:rtl w:val="0"/>
          <w:lang w:val="it-IT"/>
        </w:rPr>
        <w:t>ordinamento degli uffici e dei servizi;</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i provvedimenti adottati da Ministero dell</w:t>
      </w:r>
      <w:r>
        <w:rPr>
          <w:rFonts w:ascii="Garamond" w:hAnsi="Garamond" w:hint="default"/>
          <w:sz w:val="22"/>
          <w:szCs w:val="22"/>
          <w:rtl w:val="0"/>
          <w:lang w:val="it-IT"/>
        </w:rPr>
        <w:t>’</w:t>
      </w:r>
      <w:r>
        <w:rPr>
          <w:rFonts w:ascii="Garamond" w:hAnsi="Garamond"/>
          <w:sz w:val="22"/>
          <w:szCs w:val="22"/>
          <w:rtl w:val="0"/>
          <w:lang w:val="it-IT"/>
        </w:rPr>
        <w:t>Interno recanti la disciplina attuativa delle convenzioni di Segreteria Comunale;</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ACQUISITI,</w:t>
      </w:r>
      <w:r>
        <w:rPr>
          <w:rFonts w:ascii="Garamond" w:hAnsi="Garamond"/>
          <w:sz w:val="22"/>
          <w:szCs w:val="22"/>
          <w:rtl w:val="0"/>
          <w:lang w:val="it-IT"/>
        </w:rPr>
        <w:t xml:space="preserve"> ai sensi dell</w:t>
      </w:r>
      <w:r>
        <w:rPr>
          <w:rFonts w:ascii="Garamond" w:hAnsi="Garamond" w:hint="default"/>
          <w:sz w:val="22"/>
          <w:szCs w:val="22"/>
          <w:rtl w:val="0"/>
          <w:lang w:val="it-IT"/>
        </w:rPr>
        <w:t>’</w:t>
      </w:r>
      <w:r>
        <w:rPr>
          <w:rFonts w:ascii="Garamond" w:hAnsi="Garamond"/>
          <w:sz w:val="22"/>
          <w:szCs w:val="22"/>
          <w:rtl w:val="0"/>
          <w:lang w:val="it-IT"/>
        </w:rPr>
        <w:t>art.49, comma 1, come modificato dall</w:t>
      </w:r>
      <w:r>
        <w:rPr>
          <w:rFonts w:ascii="Garamond" w:hAnsi="Garamond" w:hint="default"/>
          <w:sz w:val="22"/>
          <w:szCs w:val="22"/>
          <w:rtl w:val="0"/>
          <w:lang w:val="it-IT"/>
        </w:rPr>
        <w:t>’</w:t>
      </w:r>
      <w:r>
        <w:rPr>
          <w:rFonts w:ascii="Garamond" w:hAnsi="Garamond"/>
          <w:sz w:val="22"/>
          <w:szCs w:val="22"/>
          <w:rtl w:val="0"/>
          <w:lang w:val="it-IT"/>
        </w:rPr>
        <w:t>art.3 del D.L. n.174/2012 convertito in L. n.213/2012, e dell</w:t>
      </w:r>
      <w:r>
        <w:rPr>
          <w:rFonts w:ascii="Garamond" w:hAnsi="Garamond" w:hint="default"/>
          <w:sz w:val="22"/>
          <w:szCs w:val="22"/>
          <w:rtl w:val="0"/>
          <w:lang w:val="it-IT"/>
        </w:rPr>
        <w:t>’</w:t>
      </w:r>
      <w:r>
        <w:rPr>
          <w:rFonts w:ascii="Garamond" w:hAnsi="Garamond"/>
          <w:sz w:val="22"/>
          <w:szCs w:val="22"/>
          <w:rtl w:val="0"/>
          <w:lang w:val="it-IT"/>
        </w:rPr>
        <w:t>art.147 bis, comma 1, del D.Lgs. n.267/2000, come risultante da specifiche note riportate in calce al presente provvedimento, i pareri favorevoli:</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del Responsabile del Servizio Affari Generali, in ordine alla regolarit</w:t>
      </w:r>
      <w:r>
        <w:rPr>
          <w:rFonts w:ascii="Garamond" w:hAnsi="Garamond" w:hint="default"/>
          <w:sz w:val="22"/>
          <w:szCs w:val="22"/>
          <w:rtl w:val="0"/>
          <w:lang w:val="it-IT"/>
        </w:rPr>
        <w:t xml:space="preserve">à </w:t>
      </w:r>
      <w:r>
        <w:rPr>
          <w:rFonts w:ascii="Garamond" w:hAnsi="Garamond"/>
          <w:sz w:val="22"/>
          <w:szCs w:val="22"/>
          <w:rtl w:val="0"/>
          <w:lang w:val="it-IT"/>
        </w:rPr>
        <w:t>tecnica della presente proposta;</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del Responsabile del Servizio Economico Finanziario, in ordine alla regolarit</w:t>
      </w:r>
      <w:r>
        <w:rPr>
          <w:rFonts w:ascii="Garamond" w:hAnsi="Garamond" w:hint="default"/>
          <w:sz w:val="22"/>
          <w:szCs w:val="22"/>
          <w:rtl w:val="0"/>
          <w:lang w:val="it-IT"/>
        </w:rPr>
        <w:t xml:space="preserve">à </w:t>
      </w:r>
      <w:r>
        <w:rPr>
          <w:rFonts w:ascii="Garamond" w:hAnsi="Garamond"/>
          <w:sz w:val="22"/>
          <w:szCs w:val="22"/>
          <w:rtl w:val="0"/>
          <w:lang w:val="it-IT"/>
        </w:rPr>
        <w:t>contabile della presente proposta;</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 xml:space="preserve">CON VOTI </w:t>
      </w:r>
      <w:r>
        <w:rPr>
          <w:rFonts w:ascii="Garamond" w:hAnsi="Garamond"/>
          <w:sz w:val="22"/>
          <w:szCs w:val="22"/>
          <w:rtl w:val="0"/>
          <w:lang w:val="it-IT"/>
        </w:rPr>
        <w:t>favorevoli n.__, astenuti n.__, contrari n.__, espressi in forma palese dai n.__ Consiglieri presenti e votanti;</w:t>
      </w:r>
    </w:p>
    <w:p>
      <w:pPr>
        <w:pStyle w:val="ASL-Paragrafo"/>
        <w:ind w:firstLine="567"/>
        <w:jc w:val="both"/>
        <w:rPr>
          <w:rFonts w:ascii="Garamond" w:cs="Garamond" w:hAnsi="Garamond" w:eastAsia="Garamond"/>
          <w:sz w:val="22"/>
          <w:szCs w:val="22"/>
        </w:rPr>
      </w:pPr>
    </w:p>
    <w:p>
      <w:pPr>
        <w:pStyle w:val="ASL-Paragrafo"/>
        <w:ind w:firstLine="567"/>
        <w:jc w:val="center"/>
        <w:rPr>
          <w:rFonts w:ascii="Garamond" w:cs="Garamond" w:hAnsi="Garamond" w:eastAsia="Garamond"/>
          <w:b w:val="1"/>
          <w:bCs w:val="1"/>
        </w:rPr>
      </w:pPr>
      <w:r>
        <w:rPr>
          <w:rFonts w:ascii="Garamond" w:hAnsi="Garamond"/>
          <w:b w:val="1"/>
          <w:bCs w:val="1"/>
          <w:rtl w:val="0"/>
          <w:lang w:val="it-IT"/>
        </w:rPr>
        <w:t>D E L I B E R A</w:t>
      </w:r>
    </w:p>
    <w:p>
      <w:pPr>
        <w:pStyle w:val="ASL-Paragrafo"/>
        <w:jc w:val="center"/>
        <w:rPr>
          <w:rFonts w:ascii="Garamond" w:cs="Garamond" w:hAnsi="Garamond" w:eastAsia="Garamond"/>
          <w:b w:val="1"/>
          <w:bCs w:val="1"/>
          <w:sz w:val="22"/>
          <w:szCs w:val="22"/>
        </w:rPr>
      </w:pPr>
    </w:p>
    <w:p>
      <w:pPr>
        <w:pStyle w:val="ASL-Paragrafo"/>
        <w:numPr>
          <w:ilvl w:val="0"/>
          <w:numId w:val="7"/>
        </w:numPr>
        <w:bidi w:val="0"/>
        <w:ind w:right="0"/>
        <w:jc w:val="both"/>
        <w:rPr>
          <w:rFonts w:ascii="Garamond" w:hAnsi="Garamond"/>
          <w:sz w:val="22"/>
          <w:szCs w:val="22"/>
          <w:rtl w:val="0"/>
          <w:lang w:val="it-IT"/>
        </w:rPr>
      </w:pPr>
      <w:r>
        <w:rPr>
          <w:rFonts w:ascii="Garamond" w:hAnsi="Garamond"/>
          <w:sz w:val="22"/>
          <w:szCs w:val="22"/>
          <w:rtl w:val="0"/>
          <w:lang w:val="it-IT"/>
        </w:rPr>
        <w:t xml:space="preserve">di </w:t>
      </w:r>
      <w:r>
        <w:rPr>
          <w:rFonts w:ascii="Garamond" w:hAnsi="Garamond"/>
          <w:b w:val="1"/>
          <w:bCs w:val="1"/>
          <w:sz w:val="22"/>
          <w:szCs w:val="22"/>
          <w:rtl w:val="0"/>
          <w:lang w:val="it-IT"/>
        </w:rPr>
        <w:t>dare atto</w:t>
      </w:r>
      <w:r>
        <w:rPr>
          <w:rFonts w:ascii="Garamond" w:hAnsi="Garamond"/>
          <w:sz w:val="22"/>
          <w:szCs w:val="22"/>
          <w:rtl w:val="0"/>
          <w:lang w:val="it-IT"/>
        </w:rPr>
        <w:t xml:space="preserve"> che le premesse costituiscono parte integrante e sostanziale del presente atto;</w:t>
      </w:r>
    </w:p>
    <w:p>
      <w:pPr>
        <w:pStyle w:val="ASL-Paragrafo"/>
        <w:jc w:val="both"/>
        <w:rPr>
          <w:rFonts w:ascii="Garamond" w:cs="Garamond" w:hAnsi="Garamond" w:eastAsia="Garamond"/>
          <w:sz w:val="22"/>
          <w:szCs w:val="22"/>
        </w:rPr>
      </w:pPr>
    </w:p>
    <w:p>
      <w:pPr>
        <w:pStyle w:val="ASL-Paragrafo"/>
        <w:numPr>
          <w:ilvl w:val="0"/>
          <w:numId w:val="7"/>
        </w:numPr>
        <w:bidi w:val="0"/>
        <w:ind w:right="0"/>
        <w:jc w:val="both"/>
        <w:rPr>
          <w:rFonts w:ascii="Garamond" w:hAnsi="Garamond"/>
          <w:sz w:val="22"/>
          <w:szCs w:val="22"/>
          <w:rtl w:val="0"/>
          <w:lang w:val="it-IT"/>
        </w:rPr>
      </w:pPr>
      <w:r>
        <w:rPr>
          <w:rFonts w:ascii="Garamond" w:hAnsi="Garamond"/>
          <w:sz w:val="22"/>
          <w:szCs w:val="22"/>
          <w:rtl w:val="0"/>
          <w:lang w:val="it-IT"/>
        </w:rPr>
        <w:t xml:space="preserve">di </w:t>
      </w:r>
      <w:r>
        <w:rPr>
          <w:rFonts w:ascii="Garamond" w:hAnsi="Garamond"/>
          <w:b w:val="1"/>
          <w:bCs w:val="1"/>
          <w:sz w:val="22"/>
          <w:szCs w:val="22"/>
          <w:rtl w:val="0"/>
          <w:lang w:val="it-IT"/>
        </w:rPr>
        <w:t>sciogliere consensualmente</w:t>
      </w:r>
      <w:r>
        <w:rPr>
          <w:rFonts w:ascii="Garamond" w:hAnsi="Garamond"/>
          <w:sz w:val="22"/>
          <w:szCs w:val="22"/>
          <w:rtl w:val="0"/>
          <w:lang w:val="it-IT"/>
        </w:rPr>
        <w:t xml:space="preserve"> il rapporto convenzionale in essere tra i Comuni di Malonno e Berzo Demo per l</w:t>
      </w:r>
      <w:r>
        <w:rPr>
          <w:rFonts w:ascii="Garamond" w:hAnsi="Garamond" w:hint="default"/>
          <w:sz w:val="22"/>
          <w:szCs w:val="22"/>
          <w:rtl w:val="0"/>
          <w:lang w:val="it-IT"/>
        </w:rPr>
        <w:t>’</w:t>
      </w:r>
      <w:r>
        <w:rPr>
          <w:rFonts w:ascii="Garamond" w:hAnsi="Garamond"/>
          <w:sz w:val="22"/>
          <w:szCs w:val="22"/>
          <w:rtl w:val="0"/>
          <w:lang w:val="it-IT"/>
        </w:rPr>
        <w:t>esercizio in forma associata del servizio di Segreteria Comunale, ai sensi di quanto disposto dall</w:t>
      </w:r>
      <w:r>
        <w:rPr>
          <w:rFonts w:ascii="Garamond" w:hAnsi="Garamond" w:hint="default"/>
          <w:sz w:val="22"/>
          <w:szCs w:val="22"/>
          <w:rtl w:val="0"/>
          <w:lang w:val="it-IT"/>
        </w:rPr>
        <w:t>’</w:t>
      </w:r>
      <w:r>
        <w:rPr>
          <w:rFonts w:ascii="Garamond" w:hAnsi="Garamond"/>
          <w:sz w:val="22"/>
          <w:szCs w:val="22"/>
          <w:rtl w:val="0"/>
          <w:lang w:val="it-IT"/>
        </w:rPr>
        <w:t>art.10 del D.P.R. 04.12.1997 n.465,</w:t>
      </w:r>
      <w:r>
        <w:rPr>
          <w:rFonts w:ascii="Garamond" w:hAnsi="Garamond"/>
          <w:sz w:val="22"/>
          <w:szCs w:val="22"/>
          <w:rtl w:val="0"/>
          <w:lang w:val="it-IT"/>
        </w:rPr>
        <w:t xml:space="preserve"> </w:t>
      </w:r>
      <w:r>
        <w:rPr>
          <w:rFonts w:ascii="Garamond" w:hAnsi="Garamond"/>
          <w:kern w:val="0"/>
          <w:sz w:val="22"/>
          <w:szCs w:val="22"/>
          <w:u w:color="ff2600"/>
          <w:rtl w:val="0"/>
          <w:lang w:val="it-IT"/>
        </w:rPr>
        <w:t xml:space="preserve">a far data dal </w:t>
      </w:r>
      <w:r>
        <w:rPr>
          <w:rFonts w:ascii="Garamond" w:hAnsi="Garamond"/>
          <w:kern w:val="0"/>
          <w:sz w:val="22"/>
          <w:szCs w:val="22"/>
          <w:u w:color="ff2600"/>
          <w:rtl w:val="0"/>
          <w:lang w:val="it-IT"/>
        </w:rPr>
        <w:t>__</w:t>
      </w:r>
      <w:r>
        <w:rPr>
          <w:rFonts w:ascii="Garamond" w:hAnsi="Garamond"/>
          <w:kern w:val="0"/>
          <w:sz w:val="22"/>
          <w:szCs w:val="22"/>
          <w:u w:color="ff2600"/>
          <w:rtl w:val="0"/>
          <w:lang w:val="it-IT"/>
        </w:rPr>
        <w:t>.</w:t>
      </w:r>
      <w:r>
        <w:rPr>
          <w:rFonts w:ascii="Garamond" w:hAnsi="Garamond"/>
          <w:kern w:val="0"/>
          <w:sz w:val="22"/>
          <w:szCs w:val="22"/>
          <w:u w:color="ff2600"/>
          <w:rtl w:val="0"/>
          <w:lang w:val="it-IT"/>
        </w:rPr>
        <w:t>__</w:t>
      </w:r>
      <w:r>
        <w:rPr>
          <w:rFonts w:ascii="Garamond" w:hAnsi="Garamond"/>
          <w:kern w:val="0"/>
          <w:sz w:val="22"/>
          <w:szCs w:val="22"/>
          <w:u w:color="ff2600"/>
          <w:rtl w:val="0"/>
          <w:lang w:val="it-IT"/>
        </w:rPr>
        <w:t>.202</w:t>
      </w:r>
      <w:r>
        <w:rPr>
          <w:rFonts w:ascii="Garamond" w:hAnsi="Garamond"/>
          <w:kern w:val="0"/>
          <w:sz w:val="22"/>
          <w:szCs w:val="22"/>
          <w:u w:color="ff2600"/>
          <w:rtl w:val="0"/>
          <w:lang w:val="it-IT"/>
        </w:rPr>
        <w:t>6</w:t>
      </w:r>
      <w:r>
        <w:rPr>
          <w:rFonts w:ascii="Garamond" w:hAnsi="Garamond"/>
          <w:kern w:val="0"/>
          <w:sz w:val="22"/>
          <w:szCs w:val="22"/>
          <w:u w:color="ff2600"/>
          <w:rtl w:val="0"/>
          <w:lang w:val="it-IT"/>
        </w:rPr>
        <w:t xml:space="preserve"> (ultimo giorno di validit</w:t>
      </w:r>
      <w:r>
        <w:rPr>
          <w:rFonts w:ascii="Garamond" w:hAnsi="Garamond" w:hint="default"/>
          <w:kern w:val="0"/>
          <w:sz w:val="22"/>
          <w:szCs w:val="22"/>
          <w:u w:color="ff2600"/>
          <w:rtl w:val="0"/>
          <w:lang w:val="it-IT"/>
        </w:rPr>
        <w:t xml:space="preserve">à </w:t>
      </w:r>
      <w:r>
        <w:rPr>
          <w:rFonts w:ascii="Garamond" w:hAnsi="Garamond"/>
          <w:kern w:val="0"/>
          <w:sz w:val="22"/>
          <w:szCs w:val="22"/>
          <w:u w:color="ff2600"/>
          <w:rtl w:val="0"/>
          <w:lang w:val="it-IT"/>
        </w:rPr>
        <w:t xml:space="preserve">della stessa il </w:t>
      </w:r>
      <w:r>
        <w:rPr>
          <w:rFonts w:ascii="Garamond" w:hAnsi="Garamond"/>
          <w:kern w:val="0"/>
          <w:sz w:val="22"/>
          <w:szCs w:val="22"/>
          <w:u w:color="ff2600"/>
          <w:rtl w:val="0"/>
          <w:lang w:val="it-IT"/>
        </w:rPr>
        <w:t>__.__.2026</w:t>
      </w:r>
      <w:r>
        <w:rPr>
          <w:rFonts w:ascii="Garamond" w:hAnsi="Garamond"/>
          <w:kern w:val="0"/>
          <w:sz w:val="22"/>
          <w:szCs w:val="22"/>
          <w:u w:color="ff2600"/>
          <w:rtl w:val="0"/>
          <w:lang w:val="it-IT"/>
        </w:rPr>
        <w:t>);</w:t>
      </w:r>
    </w:p>
    <w:p>
      <w:pPr>
        <w:pStyle w:val="ASL-Paragrafo"/>
        <w:jc w:val="both"/>
        <w:rPr>
          <w:rFonts w:ascii="Garamond" w:cs="Garamond" w:hAnsi="Garamond" w:eastAsia="Garamond"/>
          <w:sz w:val="22"/>
          <w:szCs w:val="22"/>
        </w:rPr>
      </w:pPr>
    </w:p>
    <w:p>
      <w:pPr>
        <w:pStyle w:val="ASL-Paragrafo"/>
        <w:numPr>
          <w:ilvl w:val="0"/>
          <w:numId w:val="7"/>
        </w:numPr>
        <w:bidi w:val="0"/>
        <w:ind w:right="0"/>
        <w:jc w:val="both"/>
        <w:rPr>
          <w:rFonts w:ascii="Garamond" w:hAnsi="Garamond"/>
          <w:sz w:val="22"/>
          <w:szCs w:val="22"/>
          <w:rtl w:val="0"/>
          <w:lang w:val="it-IT"/>
        </w:rPr>
      </w:pPr>
      <w:r>
        <w:rPr>
          <w:rFonts w:ascii="Garamond" w:hAnsi="Garamond"/>
          <w:sz w:val="22"/>
          <w:szCs w:val="22"/>
          <w:rtl w:val="0"/>
          <w:lang w:val="it-IT"/>
        </w:rPr>
        <w:t xml:space="preserve">di </w:t>
      </w:r>
      <w:r>
        <w:rPr>
          <w:rFonts w:ascii="Garamond" w:hAnsi="Garamond"/>
          <w:b w:val="1"/>
          <w:bCs w:val="1"/>
          <w:sz w:val="22"/>
          <w:szCs w:val="22"/>
          <w:rtl w:val="0"/>
          <w:lang w:val="it-IT"/>
        </w:rPr>
        <w:t>dare mandato</w:t>
      </w:r>
      <w:r>
        <w:rPr>
          <w:rFonts w:ascii="Garamond" w:hAnsi="Garamond"/>
          <w:sz w:val="22"/>
          <w:szCs w:val="22"/>
          <w:rtl w:val="0"/>
          <w:lang w:val="it-IT"/>
        </w:rPr>
        <w:t xml:space="preserve"> all'Ufficio Segreteria in ordine alla trasmissione del presente atto e di quant</w:t>
      </w:r>
      <w:r>
        <w:rPr>
          <w:rFonts w:ascii="Garamond" w:hAnsi="Garamond" w:hint="default"/>
          <w:sz w:val="22"/>
          <w:szCs w:val="22"/>
          <w:rtl w:val="0"/>
          <w:lang w:val="it-IT"/>
        </w:rPr>
        <w:t>’</w:t>
      </w:r>
      <w:r>
        <w:rPr>
          <w:rFonts w:ascii="Garamond" w:hAnsi="Garamond"/>
          <w:sz w:val="22"/>
          <w:szCs w:val="22"/>
          <w:rtl w:val="0"/>
          <w:lang w:val="it-IT"/>
        </w:rPr>
        <w:t>altro necessario alla Prefettura - Ufficio Territoriale del Governo di Milano, Albo dei Segretari Comunali e Provinciali Sezione Regionale Lombardia, unitamente ad ogni altro atto occorra per il perfezionamento della procedura;</w:t>
      </w:r>
    </w:p>
    <w:p>
      <w:pPr>
        <w:pStyle w:val="ASL-Paragrafo"/>
        <w:jc w:val="both"/>
        <w:rPr>
          <w:rFonts w:ascii="Garamond" w:cs="Garamond" w:hAnsi="Garamond" w:eastAsia="Garamond"/>
          <w:sz w:val="22"/>
          <w:szCs w:val="22"/>
        </w:rPr>
      </w:pPr>
    </w:p>
    <w:p>
      <w:pPr>
        <w:pStyle w:val="ASL-Paragrafo"/>
        <w:numPr>
          <w:ilvl w:val="0"/>
          <w:numId w:val="7"/>
        </w:numPr>
        <w:bidi w:val="0"/>
        <w:ind w:right="0"/>
        <w:jc w:val="both"/>
        <w:rPr>
          <w:rFonts w:ascii="Garamond" w:hAnsi="Garamond"/>
          <w:sz w:val="22"/>
          <w:szCs w:val="22"/>
          <w:rtl w:val="0"/>
          <w:lang w:val="it-IT"/>
        </w:rPr>
      </w:pPr>
      <w:r>
        <w:rPr>
          <w:rFonts w:ascii="Garamond" w:hAnsi="Garamond"/>
          <w:sz w:val="22"/>
          <w:szCs w:val="22"/>
          <w:rtl w:val="0"/>
          <w:lang w:val="it-IT"/>
        </w:rPr>
        <w:t xml:space="preserve">di </w:t>
      </w:r>
      <w:r>
        <w:rPr>
          <w:rFonts w:ascii="Garamond" w:hAnsi="Garamond"/>
          <w:b w:val="1"/>
          <w:bCs w:val="1"/>
          <w:sz w:val="22"/>
          <w:szCs w:val="22"/>
          <w:rtl w:val="0"/>
          <w:lang w:val="it-IT"/>
        </w:rPr>
        <w:t>disporre</w:t>
      </w:r>
      <w:r>
        <w:rPr>
          <w:rFonts w:ascii="Garamond" w:hAnsi="Garamond"/>
          <w:sz w:val="22"/>
          <w:szCs w:val="22"/>
          <w:rtl w:val="0"/>
          <w:lang w:val="it-IT"/>
        </w:rPr>
        <w:t xml:space="preserve"> la pubblicazione del presente atto di deliberazione all</w:t>
      </w:r>
      <w:r>
        <w:rPr>
          <w:rFonts w:ascii="Garamond" w:hAnsi="Garamond" w:hint="default"/>
          <w:sz w:val="22"/>
          <w:szCs w:val="22"/>
          <w:rtl w:val="0"/>
          <w:lang w:val="it-IT"/>
        </w:rPr>
        <w:t>’</w:t>
      </w:r>
      <w:r>
        <w:rPr>
          <w:rFonts w:ascii="Garamond" w:hAnsi="Garamond"/>
          <w:sz w:val="22"/>
          <w:szCs w:val="22"/>
          <w:rtl w:val="0"/>
          <w:lang w:val="it-IT"/>
        </w:rPr>
        <w:t>albo pretorio online dell</w:t>
      </w:r>
      <w:r>
        <w:rPr>
          <w:rFonts w:ascii="Garamond" w:hAnsi="Garamond" w:hint="default"/>
          <w:sz w:val="22"/>
          <w:szCs w:val="22"/>
          <w:rtl w:val="0"/>
          <w:lang w:val="it-IT"/>
        </w:rPr>
        <w:t>’</w:t>
      </w:r>
      <w:r>
        <w:rPr>
          <w:rFonts w:ascii="Garamond" w:hAnsi="Garamond"/>
          <w:sz w:val="22"/>
          <w:szCs w:val="22"/>
          <w:rtl w:val="0"/>
          <w:lang w:val="it-IT"/>
        </w:rPr>
        <w:t xml:space="preserve">Ente per quindici giorni consecutivi;   </w:t>
      </w:r>
    </w:p>
    <w:p>
      <w:pPr>
        <w:pStyle w:val="ASL-Paragrafo"/>
        <w:jc w:val="both"/>
        <w:rPr>
          <w:rFonts w:ascii="Garamond" w:cs="Garamond" w:hAnsi="Garamond" w:eastAsia="Garamond"/>
          <w:sz w:val="22"/>
          <w:szCs w:val="22"/>
        </w:rPr>
      </w:pPr>
    </w:p>
    <w:p>
      <w:pPr>
        <w:pStyle w:val="ASL-Paragrafo"/>
        <w:numPr>
          <w:ilvl w:val="0"/>
          <w:numId w:val="7"/>
        </w:numPr>
        <w:bidi w:val="0"/>
        <w:ind w:right="0"/>
        <w:jc w:val="both"/>
        <w:rPr>
          <w:rFonts w:ascii="Garamond" w:hAnsi="Garamond"/>
          <w:sz w:val="22"/>
          <w:szCs w:val="22"/>
          <w:rtl w:val="0"/>
          <w:lang w:val="it-IT"/>
        </w:rPr>
      </w:pPr>
      <w:r>
        <w:rPr>
          <w:rFonts w:ascii="Garamond" w:hAnsi="Garamond"/>
          <w:sz w:val="22"/>
          <w:szCs w:val="22"/>
          <w:rtl w:val="0"/>
          <w:lang w:val="it-IT"/>
        </w:rPr>
        <w:t xml:space="preserve">di </w:t>
      </w:r>
      <w:r>
        <w:rPr>
          <w:rFonts w:ascii="Garamond" w:hAnsi="Garamond"/>
          <w:b w:val="1"/>
          <w:bCs w:val="1"/>
          <w:sz w:val="22"/>
          <w:szCs w:val="22"/>
          <w:rtl w:val="0"/>
          <w:lang w:val="it-IT"/>
        </w:rPr>
        <w:t>dare atto</w:t>
      </w:r>
      <w:r>
        <w:rPr>
          <w:rFonts w:ascii="Garamond" w:hAnsi="Garamond"/>
          <w:sz w:val="22"/>
          <w:szCs w:val="22"/>
          <w:rtl w:val="0"/>
          <w:lang w:val="it-IT"/>
        </w:rPr>
        <w:t>, altres</w:t>
      </w:r>
      <w:r>
        <w:rPr>
          <w:rFonts w:ascii="Garamond" w:hAnsi="Garamond" w:hint="default"/>
          <w:sz w:val="22"/>
          <w:szCs w:val="22"/>
          <w:rtl w:val="0"/>
          <w:lang w:val="it-IT"/>
        </w:rPr>
        <w:t>ì</w:t>
      </w:r>
      <w:r>
        <w:rPr>
          <w:rFonts w:ascii="Garamond" w:hAnsi="Garamond"/>
          <w:sz w:val="22"/>
          <w:szCs w:val="22"/>
          <w:rtl w:val="0"/>
          <w:lang w:val="it-IT"/>
        </w:rPr>
        <w:t>, ai sensi dell</w:t>
      </w:r>
      <w:r>
        <w:rPr>
          <w:rFonts w:ascii="Garamond" w:hAnsi="Garamond" w:hint="default"/>
          <w:sz w:val="22"/>
          <w:szCs w:val="22"/>
          <w:rtl w:val="0"/>
          <w:lang w:val="it-IT"/>
        </w:rPr>
        <w:t>’</w:t>
      </w:r>
      <w:r>
        <w:rPr>
          <w:rFonts w:ascii="Garamond" w:hAnsi="Garamond"/>
          <w:sz w:val="22"/>
          <w:szCs w:val="22"/>
          <w:rtl w:val="0"/>
          <w:lang w:val="it-IT"/>
        </w:rPr>
        <w:t>articolo 3 della Legge 07 agosto 1990 n. 241 sul procedimento amministrativo, che qualunque soggetto ritenga il presente atto amministrativo illegittimo e venga dallo stesso direttamente leso, pu</w:t>
      </w:r>
      <w:r>
        <w:rPr>
          <w:rFonts w:ascii="Garamond" w:hAnsi="Garamond" w:hint="default"/>
          <w:sz w:val="22"/>
          <w:szCs w:val="22"/>
          <w:rtl w:val="0"/>
          <w:lang w:val="it-IT"/>
        </w:rPr>
        <w:t xml:space="preserve">ò </w:t>
      </w:r>
      <w:r>
        <w:rPr>
          <w:rFonts w:ascii="Garamond" w:hAnsi="Garamond"/>
          <w:sz w:val="22"/>
          <w:szCs w:val="22"/>
          <w:rtl w:val="0"/>
          <w:lang w:val="it-IT"/>
        </w:rPr>
        <w:t xml:space="preserve">proporre ricorso al Tribunale Amministrativo Regionale (TAR) - Sezione territoriale competente, al quale </w:t>
      </w:r>
      <w:r>
        <w:rPr>
          <w:rFonts w:ascii="Garamond" w:hAnsi="Garamond" w:hint="default"/>
          <w:sz w:val="22"/>
          <w:szCs w:val="22"/>
          <w:rtl w:val="0"/>
          <w:lang w:val="it-IT"/>
        </w:rPr>
        <w:t xml:space="preserve">è </w:t>
      </w:r>
      <w:r>
        <w:rPr>
          <w:rFonts w:ascii="Garamond" w:hAnsi="Garamond"/>
          <w:sz w:val="22"/>
          <w:szCs w:val="22"/>
          <w:rtl w:val="0"/>
          <w:lang w:val="it-IT"/>
        </w:rPr>
        <w:t>possibile presentare i propri rilievi in ordine alla legittimit</w:t>
      </w:r>
      <w:r>
        <w:rPr>
          <w:rFonts w:ascii="Garamond" w:hAnsi="Garamond" w:hint="default"/>
          <w:sz w:val="22"/>
          <w:szCs w:val="22"/>
          <w:rtl w:val="0"/>
          <w:lang w:val="it-IT"/>
        </w:rPr>
        <w:t xml:space="preserve">à </w:t>
      </w:r>
      <w:r>
        <w:rPr>
          <w:rFonts w:ascii="Garamond" w:hAnsi="Garamond"/>
          <w:sz w:val="22"/>
          <w:szCs w:val="22"/>
          <w:rtl w:val="0"/>
          <w:lang w:val="it-IT"/>
        </w:rPr>
        <w:t>del presente atto, entro e non oltre 60 giorni da quello di pubblicazione all</w:t>
      </w:r>
      <w:r>
        <w:rPr>
          <w:rFonts w:ascii="Garamond" w:hAnsi="Garamond" w:hint="default"/>
          <w:sz w:val="22"/>
          <w:szCs w:val="22"/>
          <w:rtl w:val="0"/>
          <w:lang w:val="it-IT"/>
        </w:rPr>
        <w:t>’</w:t>
      </w:r>
      <w:r>
        <w:rPr>
          <w:rFonts w:ascii="Garamond" w:hAnsi="Garamond"/>
          <w:sz w:val="22"/>
          <w:szCs w:val="22"/>
          <w:rtl w:val="0"/>
          <w:lang w:val="it-IT"/>
        </w:rPr>
        <w:t>albo pretorio;</w:t>
      </w:r>
    </w:p>
    <w:p>
      <w:pPr>
        <w:pStyle w:val="ASL-Paragrafo"/>
        <w:jc w:val="both"/>
        <w:rPr>
          <w:rFonts w:ascii="Garamond" w:cs="Garamond" w:hAnsi="Garamond" w:eastAsia="Garamond"/>
          <w:sz w:val="22"/>
          <w:szCs w:val="22"/>
        </w:rPr>
      </w:pPr>
    </w:p>
    <w:p>
      <w:pPr>
        <w:pStyle w:val="ASL-Paragrafo"/>
        <w:numPr>
          <w:ilvl w:val="0"/>
          <w:numId w:val="7"/>
        </w:numPr>
        <w:bidi w:val="0"/>
        <w:ind w:right="0"/>
        <w:jc w:val="both"/>
        <w:rPr>
          <w:rFonts w:ascii="Garamond" w:hAnsi="Garamond"/>
          <w:sz w:val="22"/>
          <w:szCs w:val="22"/>
          <w:rtl w:val="0"/>
          <w:lang w:val="it-IT"/>
        </w:rPr>
      </w:pPr>
      <w:r>
        <w:rPr>
          <w:rFonts w:ascii="Garamond" w:hAnsi="Garamond"/>
          <w:sz w:val="22"/>
          <w:szCs w:val="22"/>
          <w:rtl w:val="0"/>
          <w:lang w:val="it-IT"/>
        </w:rPr>
        <w:t xml:space="preserve">di </w:t>
      </w:r>
      <w:r>
        <w:rPr>
          <w:rFonts w:ascii="Garamond" w:hAnsi="Garamond"/>
          <w:b w:val="1"/>
          <w:bCs w:val="1"/>
          <w:sz w:val="22"/>
          <w:szCs w:val="22"/>
          <w:rtl w:val="0"/>
          <w:lang w:val="it-IT"/>
        </w:rPr>
        <w:t>dichiarare</w:t>
      </w:r>
      <w:r>
        <w:rPr>
          <w:rFonts w:ascii="Garamond" w:hAnsi="Garamond"/>
          <w:sz w:val="22"/>
          <w:szCs w:val="22"/>
          <w:rtl w:val="0"/>
          <w:lang w:val="it-IT"/>
        </w:rPr>
        <w:t>, con successiva votazione avente il seguente risultato: favorevoli n.__, astenuti n.__, contrari n.__, espressi in forma palese dai n.__ Consiglieri presenti e votanti, la presente deliberazione immediatamente esecutiva ai sensi dell</w:t>
      </w:r>
      <w:r>
        <w:rPr>
          <w:rFonts w:ascii="Garamond" w:hAnsi="Garamond" w:hint="default"/>
          <w:sz w:val="22"/>
          <w:szCs w:val="22"/>
          <w:rtl w:val="0"/>
          <w:lang w:val="it-IT"/>
        </w:rPr>
        <w:t>’</w:t>
      </w:r>
      <w:r>
        <w:rPr>
          <w:rFonts w:ascii="Garamond" w:hAnsi="Garamond"/>
          <w:sz w:val="22"/>
          <w:szCs w:val="22"/>
          <w:rtl w:val="0"/>
          <w:lang w:val="it-IT"/>
        </w:rPr>
        <w:t>art.134, comma 4, del D.Lgs. n.267/2000.</w:t>
      </w:r>
    </w:p>
    <w:sectPr>
      <w:headerReference w:type="default" r:id="rId4"/>
      <w:footerReference w:type="default" r:id="rId5"/>
      <w:pgSz w:w="11900" w:h="16840" w:orient="portrait"/>
      <w:pgMar w:top="1133" w:right="1134" w:bottom="776" w:left="1134" w:header="567"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Garamond">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Punti elenco"/>
  </w:abstractNum>
  <w:abstractNum w:abstractNumId="1">
    <w:multiLevelType w:val="hybridMultilevel"/>
    <w:styleLink w:val="Punti elenco"/>
    <w:lvl w:ilvl="0">
      <w:start w:val="1"/>
      <w:numFmt w:val="bullet"/>
      <w:suff w:val="tab"/>
      <w:lvlText w:val="-"/>
      <w:lvlJc w:val="left"/>
      <w:pPr>
        <w:ind w:left="567" w:hanging="283"/>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7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3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19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25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31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37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43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49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Stile importato 12"/>
  </w:abstractNum>
  <w:abstractNum w:abstractNumId="3">
    <w:multiLevelType w:val="hybridMultilevel"/>
    <w:styleLink w:val="Stile importato 12"/>
    <w:lvl w:ilvl="0">
      <w:start w:val="1"/>
      <w:numFmt w:val="lowerLetter"/>
      <w:suff w:val="tab"/>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ind w:left="1836" w:hanging="33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ind w:left="2560" w:hanging="28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ind w:left="3276" w:hanging="33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ind w:left="3996" w:hanging="33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ind w:left="4720" w:hanging="28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ind w:left="5436" w:hanging="33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ind w:left="6156" w:hanging="33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ind w:left="6880" w:hanging="28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Stile importato 2"/>
  </w:abstractNum>
  <w:abstractNum w:abstractNumId="5">
    <w:multiLevelType w:val="hybridMultilevel"/>
    <w:styleLink w:val="Stile importato 2"/>
    <w:lvl w:ilvl="0">
      <w:start w:val="1"/>
      <w:numFmt w:val="upperRoman"/>
      <w:suff w:val="tab"/>
      <w:lvlText w:val="%1."/>
      <w:lvlJc w:val="left"/>
      <w:pPr>
        <w:ind w:left="619" w:hanging="61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start w:val="1"/>
      <w:numFmt w:val="decimal"/>
      <w:suff w:val="tab"/>
      <w:lvlText w:val="%2."/>
      <w:lvlJc w:val="left"/>
      <w:pPr>
        <w:ind w:left="111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start w:val="1"/>
      <w:numFmt w:val="decimal"/>
      <w:suff w:val="tab"/>
      <w:lvlText w:val="%3."/>
      <w:lvlJc w:val="left"/>
      <w:pPr>
        <w:ind w:left="14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start w:val="1"/>
      <w:numFmt w:val="decimal"/>
      <w:suff w:val="tab"/>
      <w:lvlText w:val="%4."/>
      <w:lvlJc w:val="left"/>
      <w:pPr>
        <w:ind w:left="183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start w:val="1"/>
      <w:numFmt w:val="decimal"/>
      <w:suff w:val="tab"/>
      <w:lvlText w:val="%5."/>
      <w:lvlJc w:val="left"/>
      <w:pPr>
        <w:ind w:left="219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start w:val="1"/>
      <w:numFmt w:val="decimal"/>
      <w:suff w:val="tab"/>
      <w:lvlText w:val="%6."/>
      <w:lvlJc w:val="left"/>
      <w:pPr>
        <w:ind w:left="255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start w:val="1"/>
      <w:numFmt w:val="decimal"/>
      <w:suff w:val="tab"/>
      <w:lvlText w:val="%7."/>
      <w:lvlJc w:val="left"/>
      <w:pPr>
        <w:ind w:left="291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start w:val="1"/>
      <w:numFmt w:val="decimal"/>
      <w:suff w:val="tab"/>
      <w:lvlText w:val="%8."/>
      <w:lvlJc w:val="left"/>
      <w:pPr>
        <w:ind w:left="32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start w:val="1"/>
      <w:numFmt w:val="decimal"/>
      <w:suff w:val="tab"/>
      <w:lvlText w:val="%9."/>
      <w:lvlJc w:val="left"/>
      <w:pPr>
        <w:ind w:left="363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num w:numId="1">
    <w:abstractNumId w:val="1"/>
  </w:num>
  <w:num w:numId="2">
    <w:abstractNumId w:val="0"/>
  </w:num>
  <w:num w:numId="3">
    <w:abstractNumId w:val="0"/>
    <w:lvlOverride w:ilvl="0">
      <w:lvl w:ilvl="0">
        <w:start w:val="1"/>
        <w:numFmt w:val="bullet"/>
        <w:suff w:val="tab"/>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850" w:hanging="283"/>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bullet"/>
        <w:suff w:val="tab"/>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73" w:hanging="173"/>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bullet"/>
        <w:suff w:val="tab"/>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373" w:hanging="173"/>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bullet"/>
        <w:suff w:val="tab"/>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973" w:hanging="173"/>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bullet"/>
        <w:suff w:val="tab"/>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573" w:hanging="173"/>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bullet"/>
        <w:suff w:val="tab"/>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173" w:hanging="173"/>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bullet"/>
        <w:suff w:val="tab"/>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773" w:hanging="173"/>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bullet"/>
        <w:suff w:val="tab"/>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373" w:hanging="173"/>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bullet"/>
        <w:suff w:val="tab"/>
        <w:lvlText w:val="•"/>
        <w:lvlJc w:val="left"/>
        <w:pPr>
          <w:tabs>
            <w:tab w:val="left" w:pos="1416"/>
            <w:tab w:val="left" w:pos="2124"/>
            <w:tab w:val="left" w:pos="2832"/>
            <w:tab w:val="left" w:pos="3540"/>
            <w:tab w:val="left" w:pos="4248"/>
            <w:tab w:val="left" w:pos="5664"/>
            <w:tab w:val="left" w:pos="6372"/>
            <w:tab w:val="left" w:pos="7080"/>
            <w:tab w:val="left" w:pos="7788"/>
            <w:tab w:val="left" w:pos="8496"/>
            <w:tab w:val="left" w:pos="9132"/>
          </w:tabs>
          <w:ind w:left="4973" w:hanging="173"/>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367"/>
  <w:autoHyphenation w:val="0"/>
  <w:evenAndOddHeaders w:val="0"/>
  <w:bookFoldPrinting w:val="0"/>
  <w:noLineBreaksAfter w:lang="italiano" w:val="‘“(〔[{〈《「『【⦅〘〖«〝︵︷︹︻︽︿﹁﹃﹇﹙﹛﹝｢"/>
  <w:noLineBreaksBefore w:lang="italiano"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Intestazione e piè di pagina">
    <w:name w:val="Intestazione e piè di pagina"/>
    <w:next w:val="Intestazione e piè di pagin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0"/>
      <w:shd w:val="clear" w:color="auto" w:fill="auto"/>
      <w:suppressAutoHyphens w:val="1"/>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it-IT"/>
      <w14:textOutline w14:w="12700" w14:cap="flat">
        <w14:noFill/>
        <w14:miter w14:lim="400000"/>
      </w14:textOutline>
      <w14:textFill>
        <w14:solidFill>
          <w14:srgbClr w14:val="000000"/>
        </w14:solidFill>
      </w14:textFill>
    </w:rPr>
  </w:style>
  <w:style w:type="paragraph" w:styleId="ASL-IL_DIR">
    <w:name w:val="ASL-IL_DIR"/>
    <w:next w:val="ASL-IL_DIR"/>
    <w:pPr>
      <w:keepNext w:val="0"/>
      <w:keepLines w:val="0"/>
      <w:pageBreakBefore w:val="0"/>
      <w:widowControl w:val="0"/>
      <w:shd w:val="clear" w:color="auto" w:fill="auto"/>
      <w:suppressAutoHyphens w:val="1"/>
      <w:bidi w:val="0"/>
      <w:spacing w:before="0" w:after="3969" w:line="240" w:lineRule="auto"/>
      <w:ind w:left="0" w:right="0" w:firstLine="0"/>
      <w:jc w:val="center"/>
      <w:outlineLvl w:val="9"/>
    </w:pPr>
    <w:rPr>
      <w:rFonts w:ascii="Arial" w:cs="Arial" w:hAnsi="Arial" w:eastAsia="Arial"/>
      <w:b w:val="0"/>
      <w:bCs w:val="0"/>
      <w:i w:val="0"/>
      <w:iCs w:val="0"/>
      <w:caps w:val="0"/>
      <w:smallCaps w:val="0"/>
      <w:strike w:val="0"/>
      <w:dstrike w:val="0"/>
      <w:outline w:val="0"/>
      <w:color w:val="000000"/>
      <w:spacing w:val="0"/>
      <w:kern w:val="2"/>
      <w:position w:val="0"/>
      <w:sz w:val="28"/>
      <w:szCs w:val="28"/>
      <w:u w:val="none" w:color="000000"/>
      <w:shd w:val="nil" w:color="auto" w:fill="auto"/>
      <w:vertAlign w:val="baseline"/>
      <w:lang w:val="it-IT"/>
      <w14:textFill>
        <w14:solidFill>
          <w14:srgbClr w14:val="000000"/>
        </w14:solidFill>
      </w14:textFill>
    </w:rPr>
  </w:style>
  <w:style w:type="paragraph" w:styleId="ASL-Paragrafo">
    <w:name w:val="ASL-Paragrafo"/>
    <w:next w:val="ASL-Paragrafo"/>
    <w:pPr>
      <w:keepNext w:val="0"/>
      <w:keepLines w:val="0"/>
      <w:pageBreakBefore w:val="0"/>
      <w:widowControl w:val="0"/>
      <w:shd w:val="clear" w:color="auto" w:fill="auto"/>
      <w:suppressAutoHyphens w:val="1"/>
      <w:bidi w:val="0"/>
      <w:spacing w:before="0" w:after="0" w:line="240" w:lineRule="auto"/>
      <w:ind w:left="0" w:right="0" w:firstLine="0"/>
      <w:jc w:val="left"/>
      <w:outlineLvl w:val="9"/>
    </w:pPr>
    <w:rPr>
      <w:rFonts w:ascii="Arial" w:cs="Arial" w:hAnsi="Arial" w:eastAsia="Arial"/>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it-IT"/>
      <w14:textFill>
        <w14:solidFill>
          <w14:srgbClr w14:val="000000"/>
        </w14:solidFill>
      </w14:textFill>
    </w:rPr>
  </w:style>
  <w:style w:type="numbering" w:styleId="Punti elenco">
    <w:name w:val="Punti elenco"/>
    <w:pPr>
      <w:numPr>
        <w:numId w:val="1"/>
      </w:numPr>
    </w:pPr>
  </w:style>
  <w:style w:type="paragraph" w:styleId="Di default">
    <w:name w:val="Di default"/>
    <w:next w:val="Di 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it-IT"/>
      <w14:textOutline w14:w="12700" w14:cap="flat">
        <w14:noFill/>
        <w14:miter w14:lim="400000"/>
      </w14:textOutline>
      <w14:textFill>
        <w14:solidFill>
          <w14:srgbClr w14:val="000000"/>
        </w14:solidFill>
      </w14:textFill>
    </w:rPr>
  </w:style>
  <w:style w:type="numbering" w:styleId="Stile importato 12">
    <w:name w:val="Stile importato 12"/>
    <w:pPr>
      <w:numPr>
        <w:numId w:val="4"/>
      </w:numPr>
    </w:pPr>
  </w:style>
  <w:style w:type="numbering" w:styleId="Stile importato 2">
    <w:name w:val="Stile importato 2"/>
    <w:pPr>
      <w:numPr>
        <w:numId w:val="6"/>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